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FRUEHAUF - Projet +100</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Guillaume Calviac</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2023-04-07 14:35:01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pStyle w:val="Heading1"/>
        <w:keepNext w:val="0"/>
        <w:keepLines w:val="0"/>
        <w:spacing w:before="299" w:after="299"/>
        <w:rPr>
          <w:b/>
          <w:bCs/>
          <w:sz w:val="36"/>
          <w:szCs w:val="36"/>
        </w:rPr>
      </w:pPr>
      <w:r>
        <w:rPr>
          <w:rFonts w:ascii="Times New Roman" w:eastAsia="Times New Roman" w:hAnsi="Times New Roman" w:cs="Times New Roman"/>
          <w:i w:val="0"/>
          <w:color w:val="auto"/>
          <w:sz w:val="36"/>
          <w:szCs w:val="36"/>
        </w:rPr>
        <w:t>PROJET +100</w:t>
      </w:r>
    </w:p>
    <w:p>
      <w:pPr>
        <w:pStyle w:val="Heading1"/>
        <w:keepNext w:val="0"/>
        <w:keepLines w:val="0"/>
        <w:spacing w:before="0" w:line="418" w:lineRule="atLeast"/>
        <w:ind w:left="0" w:right="0"/>
        <w:rPr>
          <w:b/>
          <w:bCs/>
          <w:sz w:val="36"/>
          <w:szCs w:val="36"/>
        </w:rPr>
      </w:pPr>
      <w:r>
        <w:rPr>
          <w:rFonts w:ascii="Times New Roman" w:eastAsia="Times New Roman" w:hAnsi="Times New Roman" w:cs="Times New Roman"/>
          <w:i w:val="0"/>
          <w:color w:val="auto"/>
          <w:sz w:val="36"/>
          <w:szCs w:val="36"/>
        </w:rPr>
        <w:t>REGLEMENT DU « PROJET +100 »</w:t>
      </w:r>
    </w:p>
    <w:p>
      <w:pPr>
        <w:numPr>
          <w:ilvl w:val="0"/>
          <w:numId w:val="1"/>
        </w:numPr>
        <w:spacing w:before="240" w:after="240"/>
        <w:ind w:left="720" w:hanging="280"/>
        <w:jc w:val="left"/>
      </w:pPr>
      <w:r>
        <w:rPr>
          <w:b/>
          <w:bCs/>
        </w:rPr>
        <w:t>Les objectifs du « Projet +100 »</w:t>
      </w:r>
    </w:p>
    <w:p>
      <w:pPr>
        <w:spacing w:before="240" w:after="240"/>
      </w:pPr>
      <w:r>
        <w:t>Le “Projet +100” (ci-dessous aussi “Projet” ou “Programme”) vise à optimiser les coûts de fonctionnement de l'activité de Fruehauf SAS (ci-dessous “l’Entreprise” et du Groupe Wielton par la mise en œuvre d'initiatives d'économies (ci-après dénommées "Initiatives") par les employés de l’Entreprise et des autres entités du Groupe. Ses principaux objectifs sont les suivants :</w:t>
      </w:r>
    </w:p>
    <w:p>
      <w:pPr>
        <w:numPr>
          <w:ilvl w:val="0"/>
          <w:numId w:val="2"/>
        </w:numPr>
        <w:spacing w:before="240"/>
        <w:ind w:left="720" w:hanging="210"/>
        <w:jc w:val="left"/>
      </w:pPr>
      <w:r>
        <w:t>Promouvoir la participation et l'utilisation du potentiel des employés de la société dans le processus d'amélioration continue ;</w:t>
      </w:r>
    </w:p>
    <w:p>
      <w:pPr>
        <w:numPr>
          <w:ilvl w:val="0"/>
          <w:numId w:val="2"/>
        </w:numPr>
        <w:ind w:left="720" w:hanging="210"/>
        <w:jc w:val="left"/>
      </w:pPr>
      <w:r>
        <w:t>Générer des économies de plus de 25 millions d’Euros dans l’ensemble du Groupe Wielton ;</w:t>
      </w:r>
    </w:p>
    <w:p>
      <w:pPr>
        <w:numPr>
          <w:ilvl w:val="0"/>
          <w:numId w:val="2"/>
        </w:numPr>
        <w:spacing w:after="240"/>
        <w:ind w:left="720" w:hanging="210"/>
        <w:jc w:val="left"/>
      </w:pPr>
      <w:r>
        <w:t>encourager les employés à proposer et à mettre en œuvre des mesures de réduction des coûts.</w:t>
      </w:r>
    </w:p>
    <w:p>
      <w:pPr>
        <w:numPr>
          <w:ilvl w:val="0"/>
          <w:numId w:val="3"/>
        </w:numPr>
        <w:spacing w:before="240" w:after="240"/>
        <w:ind w:left="720" w:hanging="280"/>
        <w:jc w:val="left"/>
      </w:pPr>
      <w:r>
        <w:rPr>
          <w:b/>
          <w:bCs/>
        </w:rPr>
        <w:t>Les conditions de participation au programme au sein de Fruehauf SAS</w:t>
      </w:r>
    </w:p>
    <w:p>
      <w:pPr>
        <w:spacing w:before="240" w:after="240"/>
      </w:pPr>
      <w:r>
        <w:t>Tout Employé ou groupe d'Employés de Fruehauf SAS librement constitué (“Equipe Projet”), ayant une idée d'amélioration des processus ou d'élimination des déchets qui se traduira par des économies dans n'importe quel domaine de l'organisation peut devenir participant. Doit être compris comme “Employé” toute personne salariée de l’entreprise ou intérimaire, présent dans l’entreprise dans la période du Challenge, c’est à dire entre le 12 avril 2023 et le 12 avril 2024</w:t>
      </w:r>
      <w:r>
        <w:rPr>
          <w:i/>
          <w:iCs/>
        </w:rPr>
        <w:t>.</w:t>
      </w:r>
    </w:p>
    <w:p>
      <w:pPr>
        <w:spacing w:before="240" w:after="240"/>
      </w:pPr>
      <w:r>
        <w:t>La participation de l’Employé au programme se fait en plus de la charge normale de travail telle que définie par son supérieur hiérarchique. La participation au programme n’est en aucun cas obligatoire pour les Employés et elle est entièrement fondée sur une base volontariste. Le travail effectué dans le cadre du programme effectué en dehors des heures de travail ne donnera pas doit au paiement d’heures supplémentaires.</w:t>
      </w:r>
    </w:p>
    <w:p>
      <w:pPr>
        <w:numPr>
          <w:ilvl w:val="0"/>
          <w:numId w:val="4"/>
        </w:numPr>
        <w:spacing w:before="240" w:after="240"/>
        <w:ind w:left="720" w:hanging="280"/>
        <w:jc w:val="left"/>
      </w:pPr>
      <w:r>
        <w:rPr>
          <w:b/>
          <w:bCs/>
        </w:rPr>
        <w:t>Les délais et méthode de soumission</w:t>
      </w:r>
    </w:p>
    <w:p>
      <w:pPr>
        <w:numPr>
          <w:ilvl w:val="0"/>
          <w:numId w:val="5"/>
        </w:numPr>
        <w:spacing w:before="240"/>
        <w:ind w:left="720" w:hanging="210"/>
        <w:jc w:val="left"/>
      </w:pPr>
      <w:r>
        <w:t>Les employés peuvent soumettre leurs initiatives pendant une durée de 12 mois à partir du 12 avril 2023.</w:t>
      </w:r>
    </w:p>
    <w:p>
      <w:pPr>
        <w:numPr>
          <w:ilvl w:val="0"/>
          <w:numId w:val="5"/>
        </w:numPr>
        <w:ind w:left="720" w:hanging="210"/>
        <w:jc w:val="left"/>
      </w:pPr>
      <w:r>
        <w:t>Chaque initiative a une personne « Leader », qui est responsable de la préparation de la soumission de l’initiative, de sa mise en œuvre et de son suivi, ainsi que de la communication directe avec le service d'amélioration continue.</w:t>
      </w:r>
    </w:p>
    <w:p>
      <w:pPr>
        <w:numPr>
          <w:ilvl w:val="0"/>
          <w:numId w:val="5"/>
        </w:numPr>
        <w:spacing w:after="240"/>
        <w:ind w:left="720" w:hanging="210"/>
        <w:jc w:val="left"/>
      </w:pPr>
      <w:r>
        <w:t>Le processus de soumission et de validation des initiatives comprend 5 étapes :</w:t>
      </w:r>
    </w:p>
    <w:p>
      <w:pPr>
        <w:spacing w:before="240" w:after="240"/>
      </w:pPr>
      <w:r>
        <w:rPr>
          <w:b/>
          <w:bCs/>
        </w:rPr>
        <w:t>Etape 0</w:t>
      </w:r>
      <w:r>
        <w:t xml:space="preserve"> – </w:t>
      </w:r>
      <w:r>
        <w:rPr>
          <w:b/>
          <w:bCs/>
        </w:rPr>
        <w:t xml:space="preserve">La soumission de l'idée </w:t>
      </w:r>
      <w:r>
        <w:t xml:space="preserve">par email à </w:t>
      </w:r>
      <w:r>
        <w:rPr>
          <w:i/>
          <w:iCs/>
        </w:rPr>
        <w:t>projet100@fruehauf.com.</w:t>
      </w:r>
      <w:r>
        <w:t xml:space="preserve"> Cette soumission par email est nécessaire afin d'éviter les doublons d’idées et de garantir un enregistrement à date certaine afin de pouvoir vérifier l'ordre de réception des initiatives.</w:t>
      </w:r>
    </w:p>
    <w:p>
      <w:pPr>
        <w:spacing w:before="240" w:after="240"/>
      </w:pPr>
      <w:r>
        <w:rPr>
          <w:b/>
          <w:bCs/>
        </w:rPr>
        <w:t>Etape 1</w:t>
      </w:r>
      <w:r>
        <w:t xml:space="preserve"> </w:t>
      </w:r>
      <w:r>
        <w:rPr>
          <w:b/>
          <w:bCs/>
        </w:rPr>
        <w:t>– La définition de l’initiative</w:t>
      </w:r>
    </w:p>
    <w:p>
      <w:pPr>
        <w:numPr>
          <w:ilvl w:val="0"/>
          <w:numId w:val="6"/>
        </w:numPr>
        <w:spacing w:before="240"/>
        <w:ind w:left="720" w:hanging="210"/>
        <w:jc w:val="left"/>
      </w:pPr>
      <w:r>
        <w:t>La définition du champ d'application de l’initiative.</w:t>
      </w:r>
    </w:p>
    <w:p>
      <w:pPr>
        <w:numPr>
          <w:ilvl w:val="0"/>
          <w:numId w:val="6"/>
        </w:numPr>
        <w:ind w:left="720" w:hanging="210"/>
        <w:jc w:val="left"/>
      </w:pPr>
      <w:r>
        <w:t>Le calcul des économies potentielles sur une période de 12 mois comptée à partir de la date prévue de mise en œuvre de l’initiative.</w:t>
      </w:r>
    </w:p>
    <w:p>
      <w:pPr>
        <w:numPr>
          <w:ilvl w:val="0"/>
          <w:numId w:val="6"/>
        </w:numPr>
        <w:ind w:left="720" w:hanging="210"/>
        <w:jc w:val="left"/>
      </w:pPr>
      <w:r>
        <w:t>Le ROI (Retour sur Investissement).</w:t>
      </w:r>
    </w:p>
    <w:p>
      <w:pPr>
        <w:numPr>
          <w:ilvl w:val="0"/>
          <w:numId w:val="6"/>
        </w:numPr>
        <w:spacing w:after="240"/>
        <w:ind w:left="720" w:hanging="210"/>
        <w:jc w:val="left"/>
      </w:pPr>
      <w:r>
        <w:t>La définition du rôle du Leader de l’initiative, de l'Equipe Projet mettant en œuvre l’initiative et du plan d'action.</w:t>
      </w:r>
    </w:p>
    <w:p>
      <w:pPr>
        <w:spacing w:before="240" w:after="240"/>
      </w:pPr>
      <w:r>
        <w:t>Les soumissions de chaque Equipe Projet sont effectuées à l'aide d'un formulaire spécial préparé pour la présentation des données. L’intégralité des documents de support mentionnés au présent article sont disponibles sur le site internet www.fruehauf.com/fruehauf-projet-100, ou fournis sur simple demande par le service d'amélioration continue (4516 ou 4522 ou ameliorationcontinue@fruehauf.com).</w:t>
      </w:r>
    </w:p>
    <w:p>
      <w:pPr>
        <w:spacing w:before="240" w:after="240"/>
      </w:pPr>
      <w:r>
        <w:rPr>
          <w:b/>
          <w:bCs/>
        </w:rPr>
        <w:t xml:space="preserve">Etape 2 – La validation de la mise en œuvre </w:t>
      </w:r>
    </w:p>
    <w:p>
      <w:pPr>
        <w:spacing w:before="240" w:after="240"/>
      </w:pPr>
      <w:r>
        <w:t>Les économies réalisées seront comptabilisées à partir de la validation du plan d'action, conformément à la date définie à l'étape E1. A ce stade, le Leader de l’Equipe Projet reçoit un retour d'information sur l'état d'avancement du traitement de son initiative.</w:t>
      </w:r>
    </w:p>
    <w:p>
      <w:pPr>
        <w:spacing w:before="240" w:after="240"/>
      </w:pPr>
      <w:r>
        <w:rPr>
          <w:b/>
          <w:bCs/>
        </w:rPr>
        <w:t>Etape 3 - Suivi des économies</w:t>
      </w:r>
      <w:r>
        <w:t xml:space="preserve"> (réparti sur 4 trimestres)</w:t>
      </w:r>
    </w:p>
    <w:p>
      <w:pPr>
        <w:spacing w:before="240" w:after="240"/>
      </w:pPr>
      <w:r>
        <w:rPr>
          <w:b/>
          <w:bCs/>
        </w:rPr>
        <w:t>Etape 4 - Synthèse des économies</w:t>
      </w:r>
      <w:r>
        <w:t xml:space="preserve"> (clôture)</w:t>
      </w:r>
    </w:p>
    <w:p>
      <w:pPr>
        <w:numPr>
          <w:ilvl w:val="0"/>
          <w:numId w:val="7"/>
        </w:numPr>
        <w:spacing w:before="240" w:after="240"/>
        <w:ind w:left="720" w:hanging="280"/>
        <w:jc w:val="left"/>
      </w:pPr>
      <w:r>
        <w:rPr>
          <w:b/>
          <w:bCs/>
        </w:rPr>
        <w:t>La classification des initiatives</w:t>
      </w:r>
    </w:p>
    <w:p>
      <w:pPr>
        <w:spacing w:before="240" w:after="240"/>
      </w:pPr>
      <w:r>
        <w:t>Il existe trois types d'initiatives :</w:t>
      </w:r>
    </w:p>
    <w:p>
      <w:pPr>
        <w:numPr>
          <w:ilvl w:val="0"/>
          <w:numId w:val="8"/>
        </w:numPr>
        <w:spacing w:before="240"/>
        <w:ind w:left="720" w:hanging="210"/>
        <w:jc w:val="left"/>
      </w:pPr>
      <w:r>
        <w:t>Petite initiative : économies prévues &lt; 5 000 €</w:t>
      </w:r>
    </w:p>
    <w:p>
      <w:pPr>
        <w:numPr>
          <w:ilvl w:val="0"/>
          <w:numId w:val="8"/>
        </w:numPr>
        <w:ind w:left="720" w:hanging="210"/>
        <w:jc w:val="left"/>
      </w:pPr>
      <w:r>
        <w:t>Initiative moyenne : 5 000 € &lt; économies prévues &lt; 100 000 €</w:t>
      </w:r>
    </w:p>
    <w:p>
      <w:pPr>
        <w:numPr>
          <w:ilvl w:val="0"/>
          <w:numId w:val="8"/>
        </w:numPr>
        <w:spacing w:after="240"/>
        <w:ind w:left="720" w:hanging="210"/>
        <w:jc w:val="left"/>
      </w:pPr>
      <w:r>
        <w:t>Grande initiative : économies prévues &gt; 100 000 €</w:t>
      </w:r>
    </w:p>
    <w:p>
      <w:pPr>
        <w:numPr>
          <w:ilvl w:val="0"/>
          <w:numId w:val="9"/>
        </w:numPr>
        <w:spacing w:before="240" w:after="240"/>
        <w:ind w:left="720" w:hanging="280"/>
        <w:jc w:val="left"/>
      </w:pPr>
      <w:r>
        <w:rPr>
          <w:b/>
          <w:bCs/>
        </w:rPr>
        <w:t>Le processus de validation des candidatures</w:t>
      </w:r>
    </w:p>
    <w:p>
      <w:pPr>
        <w:numPr>
          <w:ilvl w:val="0"/>
          <w:numId w:val="10"/>
        </w:numPr>
        <w:spacing w:before="240"/>
        <w:ind w:left="720" w:hanging="280"/>
        <w:jc w:val="left"/>
      </w:pPr>
      <w:r>
        <w:t>L'examen et la validation des candidatures ont lieu une fois par semaine.</w:t>
      </w:r>
    </w:p>
    <w:p>
      <w:pPr>
        <w:numPr>
          <w:ilvl w:val="0"/>
          <w:numId w:val="10"/>
        </w:numPr>
        <w:ind w:left="720" w:hanging="280"/>
        <w:jc w:val="left"/>
      </w:pPr>
      <w:r>
        <w:t>Le processus de validation des soumissions par type d’initiatives est présenté à l'annexe 1.</w:t>
      </w:r>
    </w:p>
    <w:p>
      <w:pPr>
        <w:numPr>
          <w:ilvl w:val="0"/>
          <w:numId w:val="10"/>
        </w:numPr>
        <w:ind w:left="720" w:hanging="280"/>
        <w:jc w:val="left"/>
      </w:pPr>
      <w:r>
        <w:t>La durée des différentes étapes est déterminée au cas par cas, en fonction de la complexité de l'initiative soumise.</w:t>
      </w:r>
    </w:p>
    <w:p>
      <w:pPr>
        <w:numPr>
          <w:ilvl w:val="0"/>
          <w:numId w:val="10"/>
        </w:numPr>
        <w:ind w:left="720" w:hanging="280"/>
        <w:jc w:val="left"/>
      </w:pPr>
      <w:r>
        <w:t>En fonction du type d'initiative, des représentants de la Direction et du service d’amélioration continue participent au processus de validation. La validation de l'exactitude du calcul des économies se fait avec la participation du Contrôleur de Gestion ou du Directeur Financier en fonction du type d’initiative.</w:t>
      </w:r>
    </w:p>
    <w:p>
      <w:pPr>
        <w:numPr>
          <w:ilvl w:val="0"/>
          <w:numId w:val="10"/>
        </w:numPr>
        <w:spacing w:after="240"/>
        <w:ind w:left="720" w:hanging="280"/>
        <w:jc w:val="left"/>
      </w:pPr>
      <w:r>
        <w:t>Toute inexactitude sera traitée au cas par cas par le service d’amélioration continue avec le soutien de la Direction. La décision finale dans les situations litigieuses est prise par le Président de Fruehauf SAS.</w:t>
      </w:r>
    </w:p>
    <w:p>
      <w:pPr>
        <w:numPr>
          <w:ilvl w:val="0"/>
          <w:numId w:val="11"/>
        </w:numPr>
        <w:spacing w:before="240" w:after="240"/>
        <w:ind w:left="720" w:hanging="280"/>
        <w:jc w:val="left"/>
      </w:pPr>
      <w:r>
        <w:rPr>
          <w:b/>
          <w:bCs/>
        </w:rPr>
        <w:t>Le système de primes</w:t>
      </w:r>
    </w:p>
    <w:p>
      <w:pPr>
        <w:numPr>
          <w:ilvl w:val="0"/>
          <w:numId w:val="12"/>
        </w:numPr>
        <w:spacing w:before="240"/>
        <w:ind w:left="720" w:hanging="280"/>
        <w:jc w:val="left"/>
      </w:pPr>
      <w:r>
        <w:t xml:space="preserve">10% de l'enveloppe des économies prévues est allouée au paiement de primes, réparti comme suit </w:t>
      </w:r>
    </w:p>
    <w:p>
      <w:pPr>
        <w:numPr>
          <w:ilvl w:val="1"/>
          <w:numId w:val="12"/>
        </w:numPr>
        <w:ind w:left="1440" w:hanging="280"/>
        <w:jc w:val="left"/>
      </w:pPr>
      <w:r>
        <w:t>1% est versé dans une cagnotte commune (“Cagnotte”). A la fin du Projet +100, le montant global de la cagnotte commune sera partagé à parts égales entre tous les participants actifs du Programme, c’est à dire entre les personnes ayant mené leur Initiative du début (étape E0) à la clôture (étape E4). Les Employés n’ayant pas pris part active au Programme ou ayant abandonné leur Initiative avant sa clôture, n’auront pas le droit au paiement de la prime issue de la Cagnotte.</w:t>
      </w:r>
    </w:p>
    <w:p>
      <w:pPr>
        <w:numPr>
          <w:ilvl w:val="1"/>
          <w:numId w:val="12"/>
        </w:numPr>
        <w:ind w:left="1440" w:hanging="280"/>
        <w:jc w:val="left"/>
      </w:pPr>
      <w:r>
        <w:t xml:space="preserve">9% est librement partagé parmi les membres de l’équipe, sauf cas particuliers : </w:t>
      </w:r>
    </w:p>
    <w:p>
      <w:pPr>
        <w:numPr>
          <w:ilvl w:val="2"/>
          <w:numId w:val="12"/>
        </w:numPr>
        <w:ind w:left="2160" w:hanging="210"/>
        <w:jc w:val="left"/>
      </w:pPr>
      <w:r>
        <w:t>Les membres du Comité de Direction ne peuvent pas percevoir une part plus importante que 3%.</w:t>
      </w:r>
    </w:p>
    <w:p>
      <w:pPr>
        <w:numPr>
          <w:ilvl w:val="2"/>
          <w:numId w:val="12"/>
        </w:numPr>
        <w:ind w:left="2160" w:hanging="210"/>
        <w:jc w:val="left"/>
      </w:pPr>
      <w:r>
        <w:t>Dans le cas où une Equipe Projet est composée de 2 personnes seulement et que le Leader est un membre du Comité de Direction, tous les membres de l’Equipe Projet auront droit à 3% maximum chacun, le résidu étant versé dans la Cagnotte mentionnée au 6.a.i. ci-dessus.</w:t>
      </w:r>
    </w:p>
    <w:p>
      <w:pPr>
        <w:numPr>
          <w:ilvl w:val="1"/>
          <w:numId w:val="12"/>
        </w:numPr>
        <w:ind w:left="1440" w:hanging="280"/>
        <w:jc w:val="left"/>
      </w:pPr>
      <w:r>
        <w:t>Les initiatives soumises sont évaluées et, en trois étapes, converties en primes payées selon le calendrier ci-dessous avec la paie suivante.</w:t>
      </w:r>
    </w:p>
    <w:p>
      <w:pPr>
        <w:numPr>
          <w:ilvl w:val="1"/>
          <w:numId w:val="12"/>
        </w:numPr>
        <w:ind w:left="1440" w:hanging="280"/>
        <w:jc w:val="left"/>
      </w:pPr>
      <w:r>
        <w:t>Les montants bruts en Euros sont utilisés pour les calculs.</w:t>
      </w:r>
    </w:p>
    <w:p>
      <w:pPr>
        <w:numPr>
          <w:ilvl w:val="1"/>
          <w:numId w:val="12"/>
        </w:numPr>
        <w:spacing w:after="240"/>
        <w:ind w:left="1440" w:hanging="280"/>
        <w:jc w:val="left"/>
      </w:pPr>
      <w:r>
        <w:t>Le paiement des primes est effectué avec le salaire du mois civil suivant à partir de la date de clôture par le Directeur Financier de chaque étape du projet. La présence de l’Employé dans l’Entreprise au jour du versement de la prime est une condition de son versement.</w:t>
      </w:r>
    </w:p>
    <w:tbl>
      <w:tblPr>
        <w:tblW w:w="5000" w:type="pct"/>
        <w:tblCellSpacing w:w="15" w:type="dxa"/>
        <w:tblCellMar>
          <w:top w:w="15" w:type="dxa"/>
          <w:left w:w="15" w:type="dxa"/>
          <w:bottom w:w="15" w:type="dxa"/>
          <w:right w:w="15" w:type="dxa"/>
        </w:tblCellMar>
      </w:tblPr>
      <w:tblGrid>
        <w:gridCol w:w="9330"/>
      </w:tblGrid>
      <w:tr>
        <w:tblPrEx>
          <w:tblW w:w="5000" w:type="pct"/>
          <w:tblCellSpacing w:w="15" w:type="dxa"/>
          <w:tblCellMar>
            <w:top w:w="15" w:type="dxa"/>
            <w:left w:w="15" w:type="dxa"/>
            <w:bottom w:w="15" w:type="dxa"/>
            <w:right w:w="15" w:type="dxa"/>
          </w:tblCellMar>
        </w:tblPrEx>
        <w:trPr>
          <w:tblHeader/>
          <w:tblCellSpacing w:w="15" w:type="dxa"/>
        </w:trPr>
        <w:tc>
          <w:tcPr>
            <w:tcMar>
              <w:top w:w="15" w:type="dxa"/>
              <w:left w:w="15" w:type="dxa"/>
              <w:bottom w:w="15" w:type="dxa"/>
              <w:right w:w="15" w:type="dxa"/>
            </w:tcMar>
            <w:vAlign w:val="center"/>
            <w:hideMark/>
          </w:tcPr>
          <w:tbl>
            <w:tblPr>
              <w:tblCellSpacing w:w="15" w:type="dxa"/>
              <w:tblCellMar>
                <w:top w:w="15" w:type="dxa"/>
                <w:left w:w="15" w:type="dxa"/>
                <w:bottom w:w="15" w:type="dxa"/>
                <w:right w:w="15" w:type="dxa"/>
              </w:tblCellMar>
            </w:tblPr>
            <w:tblGrid>
              <w:gridCol w:w="1185"/>
              <w:gridCol w:w="1605"/>
              <w:gridCol w:w="6405"/>
            </w:tblGrid>
            <w:tr>
              <w:tblPrEx>
                <w:tblCellSpacing w:w="15" w:type="dxa"/>
                <w:tblCellMar>
                  <w:top w:w="15" w:type="dxa"/>
                  <w:left w:w="15" w:type="dxa"/>
                  <w:bottom w:w="15" w:type="dxa"/>
                  <w:right w:w="15" w:type="dxa"/>
                </w:tblCellMar>
              </w:tblPrEx>
              <w:trPr>
                <w:tblCellSpacing w:w="15" w:type="dxa"/>
              </w:trPr>
              <w:tc>
                <w:tcPr>
                  <w:tcW w:w="1155" w:type="dxa"/>
                  <w:tcMar>
                    <w:top w:w="15" w:type="dxa"/>
                    <w:left w:w="15" w:type="dxa"/>
                    <w:bottom w:w="15" w:type="dxa"/>
                    <w:right w:w="15" w:type="dxa"/>
                  </w:tcMar>
                  <w:vAlign w:val="center"/>
                  <w:hideMark/>
                </w:tcPr>
                <w:p>
                  <w:pPr>
                    <w:rPr>
                      <w:b/>
                      <w:bCs/>
                    </w:rPr>
                  </w:pPr>
                  <w:r>
                    <w:rPr>
                      <w:b/>
                      <w:bCs/>
                    </w:rPr>
                    <w:t>Etape</w:t>
                  </w:r>
                </w:p>
              </w:tc>
              <w:tc>
                <w:tcPr>
                  <w:tcW w:w="1575" w:type="dxa"/>
                  <w:tcMar>
                    <w:top w:w="15" w:type="dxa"/>
                    <w:left w:w="15" w:type="dxa"/>
                    <w:bottom w:w="15" w:type="dxa"/>
                    <w:right w:w="15" w:type="dxa"/>
                  </w:tcMar>
                  <w:vAlign w:val="center"/>
                  <w:hideMark/>
                </w:tcPr>
                <w:p>
                  <w:pPr>
                    <w:rPr>
                      <w:b/>
                      <w:bCs/>
                    </w:rPr>
                  </w:pPr>
                  <w:r>
                    <w:rPr>
                      <w:b/>
                      <w:bCs/>
                    </w:rPr>
                    <w:t>Niveau de prime</w:t>
                  </w:r>
                </w:p>
              </w:tc>
              <w:tc>
                <w:tcPr>
                  <w:tcW w:w="6375" w:type="dxa"/>
                  <w:tcMar>
                    <w:top w:w="15" w:type="dxa"/>
                    <w:left w:w="15" w:type="dxa"/>
                    <w:bottom w:w="15" w:type="dxa"/>
                    <w:right w:w="15" w:type="dxa"/>
                  </w:tcMar>
                  <w:vAlign w:val="center"/>
                  <w:hideMark/>
                </w:tcPr>
                <w:p>
                  <w:pPr>
                    <w:rPr>
                      <w:b/>
                      <w:bCs/>
                    </w:rPr>
                  </w:pPr>
                  <w:r>
                    <w:rPr>
                      <w:b/>
                      <w:bCs/>
                    </w:rPr>
                    <w:t>Commentaires</w:t>
                  </w:r>
                </w:p>
              </w:tc>
            </w:tr>
            <w:tr>
              <w:tblPrEx>
                <w:tblCellSpacing w:w="15" w:type="dxa"/>
                <w:tblCellMar>
                  <w:top w:w="15" w:type="dxa"/>
                  <w:left w:w="15" w:type="dxa"/>
                  <w:bottom w:w="15" w:type="dxa"/>
                  <w:right w:w="15" w:type="dxa"/>
                </w:tblCellMar>
              </w:tblPrEx>
              <w:trPr>
                <w:tblCellSpacing w:w="15" w:type="dxa"/>
              </w:trPr>
              <w:tc>
                <w:tcPr>
                  <w:tcW w:w="1155" w:type="dxa"/>
                  <w:tcMar>
                    <w:top w:w="15" w:type="dxa"/>
                    <w:left w:w="15" w:type="dxa"/>
                    <w:bottom w:w="15" w:type="dxa"/>
                    <w:right w:w="15" w:type="dxa"/>
                  </w:tcMar>
                  <w:vAlign w:val="center"/>
                  <w:hideMark/>
                </w:tcPr>
                <w:p>
                  <w:pPr>
                    <w:rPr>
                      <w:b/>
                      <w:bCs/>
                    </w:rPr>
                  </w:pPr>
                  <w:r>
                    <w:rPr>
                      <w:b/>
                      <w:bCs/>
                    </w:rPr>
                    <w:t>Etape 1</w:t>
                  </w:r>
                </w:p>
              </w:tc>
              <w:tc>
                <w:tcPr>
                  <w:tcW w:w="1575" w:type="dxa"/>
                  <w:tcMar>
                    <w:top w:w="15" w:type="dxa"/>
                    <w:left w:w="15" w:type="dxa"/>
                    <w:bottom w:w="15" w:type="dxa"/>
                    <w:right w:w="15" w:type="dxa"/>
                  </w:tcMar>
                  <w:vAlign w:val="center"/>
                  <w:hideMark/>
                </w:tcPr>
                <w:p>
                  <w:pPr>
                    <w:rPr>
                      <w:b/>
                      <w:bCs/>
                    </w:rPr>
                  </w:pPr>
                  <w:r>
                    <w:rPr>
                      <w:b/>
                      <w:bCs/>
                    </w:rPr>
                    <w:t>0,5%</w:t>
                  </w:r>
                </w:p>
              </w:tc>
              <w:tc>
                <w:tcPr>
                  <w:tcW w:w="6375" w:type="dxa"/>
                  <w:tcMar>
                    <w:top w:w="15" w:type="dxa"/>
                    <w:left w:w="15" w:type="dxa"/>
                    <w:bottom w:w="15" w:type="dxa"/>
                    <w:right w:w="15" w:type="dxa"/>
                  </w:tcMar>
                  <w:vAlign w:val="center"/>
                  <w:hideMark/>
                </w:tcPr>
                <w:p>
                  <w:pPr>
                    <w:rPr>
                      <w:b/>
                      <w:bCs/>
                    </w:rPr>
                  </w:pPr>
                  <w:r>
                    <w:rPr>
                      <w:b/>
                      <w:bCs/>
                    </w:rPr>
                    <w:t>·       Valeurs des économies prévues. ·       Après validation de l’initiative. ·        Prime versée à l’Equipe projet selon les règles de répartition définies dans le descriptif.</w:t>
                  </w:r>
                </w:p>
              </w:tc>
            </w:tr>
            <w:tr>
              <w:tblPrEx>
                <w:tblCellSpacing w:w="15" w:type="dxa"/>
                <w:tblCellMar>
                  <w:top w:w="15" w:type="dxa"/>
                  <w:left w:w="15" w:type="dxa"/>
                  <w:bottom w:w="15" w:type="dxa"/>
                  <w:right w:w="15" w:type="dxa"/>
                </w:tblCellMar>
              </w:tblPrEx>
              <w:trPr>
                <w:tblCellSpacing w:w="15" w:type="dxa"/>
              </w:trPr>
              <w:tc>
                <w:tcPr>
                  <w:tcW w:w="1155" w:type="dxa"/>
                  <w:tcMar>
                    <w:top w:w="15" w:type="dxa"/>
                    <w:left w:w="15" w:type="dxa"/>
                    <w:bottom w:w="15" w:type="dxa"/>
                    <w:right w:w="15" w:type="dxa"/>
                  </w:tcMar>
                  <w:vAlign w:val="center"/>
                  <w:hideMark/>
                </w:tcPr>
                <w:p>
                  <w:pPr>
                    <w:rPr>
                      <w:b/>
                      <w:bCs/>
                    </w:rPr>
                  </w:pPr>
                  <w:r>
                    <w:rPr>
                      <w:b/>
                      <w:bCs/>
                    </w:rPr>
                    <w:t>Etape 2</w:t>
                  </w:r>
                </w:p>
              </w:tc>
              <w:tc>
                <w:tcPr>
                  <w:tcW w:w="1575" w:type="dxa"/>
                  <w:tcMar>
                    <w:top w:w="15" w:type="dxa"/>
                    <w:left w:w="15" w:type="dxa"/>
                    <w:bottom w:w="15" w:type="dxa"/>
                    <w:right w:w="15" w:type="dxa"/>
                  </w:tcMar>
                  <w:vAlign w:val="center"/>
                  <w:hideMark/>
                </w:tcPr>
                <w:p>
                  <w:pPr>
                    <w:rPr>
                      <w:b/>
                      <w:bCs/>
                    </w:rPr>
                  </w:pPr>
                  <w:r>
                    <w:rPr>
                      <w:b/>
                      <w:bCs/>
                    </w:rPr>
                    <w:t>1,5%</w:t>
                  </w:r>
                </w:p>
              </w:tc>
              <w:tc>
                <w:tcPr>
                  <w:tcW w:w="6375" w:type="dxa"/>
                  <w:tcMar>
                    <w:top w:w="15" w:type="dxa"/>
                    <w:left w:w="15" w:type="dxa"/>
                    <w:bottom w:w="15" w:type="dxa"/>
                    <w:right w:w="15" w:type="dxa"/>
                  </w:tcMar>
                  <w:vAlign w:val="center"/>
                  <w:hideMark/>
                </w:tcPr>
                <w:p>
                  <w:pPr>
                    <w:rPr>
                      <w:b/>
                      <w:bCs/>
                    </w:rPr>
                  </w:pPr>
                  <w:r>
                    <w:rPr>
                      <w:b/>
                      <w:bCs/>
                    </w:rPr>
                    <w:t>·       Après réalisation du plan d’action ; ·       Prime versée à l’Equipe projet selon les règles de répartition définies dans le descriptif</w:t>
                  </w:r>
                </w:p>
              </w:tc>
            </w:tr>
            <w:tr>
              <w:tblPrEx>
                <w:tblCellSpacing w:w="15" w:type="dxa"/>
                <w:tblCellMar>
                  <w:top w:w="15" w:type="dxa"/>
                  <w:left w:w="15" w:type="dxa"/>
                  <w:bottom w:w="15" w:type="dxa"/>
                  <w:right w:w="15" w:type="dxa"/>
                </w:tblCellMar>
              </w:tblPrEx>
              <w:trPr>
                <w:tblCellSpacing w:w="15" w:type="dxa"/>
              </w:trPr>
              <w:tc>
                <w:tcPr>
                  <w:tcW w:w="1155" w:type="dxa"/>
                  <w:vMerge w:val="restart"/>
                  <w:tcMar>
                    <w:top w:w="15" w:type="dxa"/>
                    <w:left w:w="15" w:type="dxa"/>
                    <w:bottom w:w="15" w:type="dxa"/>
                    <w:right w:w="15" w:type="dxa"/>
                  </w:tcMar>
                  <w:vAlign w:val="center"/>
                  <w:hideMark/>
                </w:tcPr>
                <w:p>
                  <w:pPr>
                    <w:rPr>
                      <w:b/>
                      <w:bCs/>
                    </w:rPr>
                  </w:pPr>
                  <w:r>
                    <w:rPr>
                      <w:b/>
                      <w:bCs/>
                    </w:rPr>
                    <w:t>Etape 3*</w:t>
                  </w:r>
                </w:p>
              </w:tc>
              <w:tc>
                <w:tcPr>
                  <w:tcW w:w="1575" w:type="dxa"/>
                  <w:tcMar>
                    <w:top w:w="15" w:type="dxa"/>
                    <w:left w:w="15" w:type="dxa"/>
                    <w:bottom w:w="15" w:type="dxa"/>
                    <w:right w:w="15" w:type="dxa"/>
                  </w:tcMar>
                  <w:vAlign w:val="center"/>
                  <w:hideMark/>
                </w:tcPr>
                <w:p>
                  <w:pPr>
                    <w:rPr>
                      <w:b/>
                      <w:bCs/>
                    </w:rPr>
                  </w:pPr>
                  <w:r>
                    <w:rPr>
                      <w:b/>
                      <w:bCs/>
                    </w:rPr>
                    <w:t>1,75% 1er trim.</w:t>
                  </w:r>
                </w:p>
              </w:tc>
              <w:tc>
                <w:tcPr>
                  <w:tcW w:w="6375" w:type="dxa"/>
                  <w:vMerge w:val="restart"/>
                  <w:tcMar>
                    <w:top w:w="15" w:type="dxa"/>
                    <w:left w:w="15" w:type="dxa"/>
                    <w:bottom w:w="15" w:type="dxa"/>
                    <w:right w:w="15" w:type="dxa"/>
                  </w:tcMar>
                  <w:vAlign w:val="center"/>
                  <w:hideMark/>
                </w:tcPr>
                <w:p>
                  <w:pPr>
                    <w:rPr>
                      <w:b/>
                      <w:bCs/>
                    </w:rPr>
                  </w:pPr>
                  <w:r>
                    <w:rPr>
                      <w:b/>
                      <w:bCs/>
                    </w:rPr>
                    <w:t>·       À la fin de chaque trimestre (sur la base des économies réelles réalisées). ·       Prime versée à l’Equipe projet selon les règles de répartition définies dans le descriptif</w:t>
                  </w:r>
                </w:p>
              </w:tc>
            </w:tr>
            <w:tr>
              <w:tblPrEx>
                <w:tblCellSpacing w:w="15" w:type="dxa"/>
                <w:tblCellMar>
                  <w:top w:w="15" w:type="dxa"/>
                  <w:left w:w="15" w:type="dxa"/>
                  <w:bottom w:w="15" w:type="dxa"/>
                  <w:right w:w="15" w:type="dxa"/>
                </w:tblCellMar>
              </w:tblPrEx>
              <w:trPr>
                <w:tblCellSpacing w:w="15" w:type="dxa"/>
              </w:trPr>
              <w:tc>
                <w:tcPr>
                  <w:vMerge/>
                  <w:vAlign w:val="center"/>
                  <w:hideMark/>
                </w:tcPr>
                <w:p>
                  <w:pPr>
                    <w:rPr>
                      <w:b/>
                      <w:bCs/>
                    </w:rPr>
                  </w:pPr>
                </w:p>
              </w:tc>
              <w:tc>
                <w:tcPr>
                  <w:tcW w:w="1575" w:type="dxa"/>
                  <w:tcMar>
                    <w:top w:w="15" w:type="dxa"/>
                    <w:left w:w="15" w:type="dxa"/>
                    <w:bottom w:w="15" w:type="dxa"/>
                    <w:right w:w="15" w:type="dxa"/>
                  </w:tcMar>
                  <w:vAlign w:val="center"/>
                  <w:hideMark/>
                </w:tcPr>
                <w:p>
                  <w:pPr>
                    <w:rPr>
                      <w:b/>
                      <w:bCs/>
                    </w:rPr>
                  </w:pPr>
                  <w:r>
                    <w:rPr>
                      <w:b/>
                      <w:bCs/>
                    </w:rPr>
                    <w:t>1,75% 2è trim.</w:t>
                  </w:r>
                </w:p>
              </w:tc>
              <w:tc>
                <w:tcPr>
                  <w:vMerge/>
                  <w:vAlign w:val="center"/>
                  <w:hideMark/>
                </w:tcPr>
                <w:p>
                  <w:pPr>
                    <w:rPr>
                      <w:b/>
                      <w:bCs/>
                    </w:rPr>
                  </w:pPr>
                </w:p>
              </w:tc>
            </w:tr>
            <w:tr>
              <w:tblPrEx>
                <w:tblCellSpacing w:w="15" w:type="dxa"/>
                <w:tblCellMar>
                  <w:top w:w="15" w:type="dxa"/>
                  <w:left w:w="15" w:type="dxa"/>
                  <w:bottom w:w="15" w:type="dxa"/>
                  <w:right w:w="15" w:type="dxa"/>
                </w:tblCellMar>
              </w:tblPrEx>
              <w:trPr>
                <w:tblCellSpacing w:w="15" w:type="dxa"/>
              </w:trPr>
              <w:tc>
                <w:tcPr>
                  <w:vMerge/>
                  <w:vAlign w:val="center"/>
                  <w:hideMark/>
                </w:tcPr>
                <w:p>
                  <w:pPr>
                    <w:rPr>
                      <w:b/>
                      <w:bCs/>
                    </w:rPr>
                  </w:pPr>
                </w:p>
              </w:tc>
              <w:tc>
                <w:tcPr>
                  <w:tcW w:w="1575" w:type="dxa"/>
                  <w:tcMar>
                    <w:top w:w="15" w:type="dxa"/>
                    <w:left w:w="15" w:type="dxa"/>
                    <w:bottom w:w="15" w:type="dxa"/>
                    <w:right w:w="15" w:type="dxa"/>
                  </w:tcMar>
                  <w:vAlign w:val="center"/>
                  <w:hideMark/>
                </w:tcPr>
                <w:p>
                  <w:pPr>
                    <w:rPr>
                      <w:b/>
                      <w:bCs/>
                    </w:rPr>
                  </w:pPr>
                  <w:r>
                    <w:rPr>
                      <w:b/>
                      <w:bCs/>
                    </w:rPr>
                    <w:t>1,75% 3è trim.</w:t>
                  </w:r>
                </w:p>
              </w:tc>
              <w:tc>
                <w:tcPr>
                  <w:vMerge/>
                  <w:vAlign w:val="center"/>
                  <w:hideMark/>
                </w:tcPr>
                <w:p>
                  <w:pPr>
                    <w:rPr>
                      <w:b/>
                      <w:bCs/>
                    </w:rPr>
                  </w:pPr>
                </w:p>
              </w:tc>
            </w:tr>
            <w:tr>
              <w:tblPrEx>
                <w:tblCellSpacing w:w="15" w:type="dxa"/>
                <w:tblCellMar>
                  <w:top w:w="15" w:type="dxa"/>
                  <w:left w:w="15" w:type="dxa"/>
                  <w:bottom w:w="15" w:type="dxa"/>
                  <w:right w:w="15" w:type="dxa"/>
                </w:tblCellMar>
              </w:tblPrEx>
              <w:trPr>
                <w:tblCellSpacing w:w="15" w:type="dxa"/>
              </w:trPr>
              <w:tc>
                <w:tcPr>
                  <w:vMerge/>
                  <w:vAlign w:val="center"/>
                  <w:hideMark/>
                </w:tcPr>
                <w:p>
                  <w:pPr>
                    <w:rPr>
                      <w:b/>
                      <w:bCs/>
                    </w:rPr>
                  </w:pPr>
                </w:p>
              </w:tc>
              <w:tc>
                <w:tcPr>
                  <w:tcW w:w="1575" w:type="dxa"/>
                  <w:tcMar>
                    <w:top w:w="15" w:type="dxa"/>
                    <w:left w:w="15" w:type="dxa"/>
                    <w:bottom w:w="15" w:type="dxa"/>
                    <w:right w:w="15" w:type="dxa"/>
                  </w:tcMar>
                  <w:vAlign w:val="center"/>
                  <w:hideMark/>
                </w:tcPr>
                <w:p>
                  <w:pPr>
                    <w:rPr>
                      <w:b/>
                      <w:bCs/>
                    </w:rPr>
                  </w:pPr>
                  <w:r>
                    <w:rPr>
                      <w:b/>
                      <w:bCs/>
                    </w:rPr>
                    <w:t>1,75% 4è trim.</w:t>
                  </w:r>
                </w:p>
              </w:tc>
              <w:tc>
                <w:tcPr>
                  <w:vMerge/>
                  <w:vAlign w:val="center"/>
                  <w:hideMark/>
                </w:tcPr>
                <w:p>
                  <w:pPr>
                    <w:rPr>
                      <w:b/>
                      <w:bCs/>
                    </w:rPr>
                  </w:pPr>
                </w:p>
              </w:tc>
            </w:tr>
          </w:tbl>
          <w:p>
            <w:pPr>
              <w:rPr>
                <w:b/>
                <w:bCs/>
              </w:rPr>
            </w:pPr>
          </w:p>
        </w:tc>
      </w:tr>
    </w:tbl>
    <w:p>
      <w:pPr>
        <w:spacing w:before="240" w:after="240"/>
      </w:pPr>
      <w:r>
        <w:t>* En cas de surestimation ou sous-estimation des gains réalisés, le montant de la prime versée à l’Etape 2 peut être revu (augmenté ou diminué) après calcul des gains réels réalisés à l’issue du deuxième et quatrième trimestre.</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4656"/>
        <w:gridCol w:w="4659"/>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pyre_slider_type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pyre_wooslider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pyre_revslider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pyre_elasticslider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pyre_avada_rev_styles</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pyre_demo_slider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pyre_main_top_padding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pyre_main_bottom_padding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pyre_hundredp_padding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pyre_show_first_featured_image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pyre_display_header</w:t>
            </w:r>
          </w:p>
        </w:tc>
        <w:tc>
          <w:tcPr>
            <w:tcMar>
              <w:top w:w="15" w:type="dxa"/>
              <w:left w:w="15" w:type="dxa"/>
              <w:bottom w:w="15" w:type="dxa"/>
              <w:right w:w="15" w:type="dxa"/>
            </w:tcMar>
            <w:vAlign w:val="center"/>
            <w:hideMark/>
          </w:tcPr>
          <w:p>
            <w:r>
              <w:t>yes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pyre_combined_header_bg_color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pyre_mobile_header_bg_color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pyre_displayed_menu</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pyre_display_footer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pyre_display_copyright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pyre_footer_100_width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pyre_responsive_sidebar_order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pyre_sidebar_sticky</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pyre_page_bg_layout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pyre_page_title_breadcrumbs_search_bar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pyre_page_title_text_alignment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pyre_page_title_custom_text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pyre_page_title_line_height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pyre_page_title_subheader_font_color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pyre_page_title_mobile_height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pyre_page_title_bar_borders_color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pyre_page_title_bg_parallax</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fusion_builder_status</w:t>
            </w:r>
          </w:p>
        </w:tc>
        <w:tc>
          <w:tcPr>
            <w:tcMar>
              <w:top w:w="15" w:type="dxa"/>
              <w:left w:w="15" w:type="dxa"/>
              <w:bottom w:w="15" w:type="dxa"/>
              <w:right w:w="15" w:type="dxa"/>
            </w:tcMar>
            <w:vAlign w:val="center"/>
            <w:hideMark/>
          </w:tcPr>
          <w:p>
            <w:r>
              <w:t>active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kd_featured-image-2_page_id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kd_featured-image-3_page_id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kd_featured-image-4_page_id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kd_featured-image-5_page_id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163</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20-12-2023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multilevel"/>
    <w:tmpl w:val="00000007"/>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multilevel"/>
    <w:tmpl w:val="00000009"/>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FRUEHAUF - Projet +100</dc:title>
  <cp:revision>0</cp:revision>
</cp:coreProperties>
</file>