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Cloud for .NET 23.12.0 -->
  <w:body>
    <w:p>
      <w:pPr>
        <w:pStyle w:val="Heading1"/>
        <w:keepNext w:val="0"/>
        <w:keepLines w:val="0"/>
        <w:spacing w:before="0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Bennes Grand Volume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74"/>
        <w:gridCol w:w="6241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Author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Guillaume Calviac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Date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2016-10-25 11:23:45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Categories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</w:tbl>
    <w:p>
      <w:pPr>
        <w:pStyle w:val="Heading1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LES BENNES GRAND VOLUME</w:t>
      </w:r>
    </w:p>
    <w:p>
      <w:pPr>
        <w:pStyle w:val="rs-p-wp-fix"/>
        <w:spacing w:before="240" w:after="240"/>
      </w:pPr>
      <w:r>
        <w:rPr>
          <w:rFonts w:ascii="Arial" w:eastAsia="Arial" w:hAnsi="Arial" w:cs="Arial"/>
          <w:vanish/>
          <w:shd w:val="clear" w:color="auto" w:fill="FFFFFF"/>
        </w:rPr>
        <w:t xml:space="preserve">LÉGÈRETÉ ET ROBUSTESSE AU MEILLEUR PRIX </w:t>
      </w:r>
      <w:r>
        <w:rPr>
          <w:rFonts w:ascii="Arial" w:eastAsia="Arial" w:hAnsi="Arial" w:cs="Arial"/>
          <w:vanish/>
          <w:shd w:val="clear" w:color="auto" w:fill="FFFFFF"/>
        </w:rPr>
        <w:t xml:space="preserve">LÉGÈRETÉ ET ROBUSTESSE AU MEILLEUR PRIX </w:t>
      </w:r>
      <w:r>
        <w:rPr>
          <w:rFonts w:ascii="Arial" w:eastAsia="Arial" w:hAnsi="Arial" w:cs="Arial"/>
          <w:vanish/>
          <w:shd w:val="clear" w:color="auto" w:fill="FFFFFF"/>
        </w:rPr>
        <w:t xml:space="preserve">LÉGÈRETÉ ET ROBUSTESSE AU MEILLEUR PRIX </w:t>
      </w:r>
      <w:r>
        <w:rPr>
          <w:rFonts w:ascii="Arial" w:eastAsia="Arial" w:hAnsi="Arial" w:cs="Arial"/>
          <w:vanish/>
          <w:shd w:val="clear" w:color="auto" w:fill="FFFFFF"/>
        </w:rPr>
        <w:t xml:space="preserve">LÉGÈRETÉ ET ROBUSTESSE AU MEILLEUR PRIX </w:t>
      </w:r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La Gamme</w:t>
      </w:r>
    </w:p>
    <w:p>
      <w:pPr>
        <w:jc w:val="center"/>
      </w:pPr>
      <w:hyperlink w:anchor="produits_agroalimentaires" w:tgtFrame="_self" w:tooltip="Produits Agroalimentaires" w:history="1">
        <w:r>
          <w:rPr>
            <w:rStyle w:val="fusion-button-text"/>
            <w:color w:val="0000EE"/>
            <w:u w:val="single" w:color="0000EE"/>
          </w:rPr>
          <w:t>Aluminium Spécial "ENDUR-AL®"</w:t>
        </w:r>
      </w:hyperlink>
    </w:p>
    <w:p>
      <w:pPr>
        <w:spacing w:before="240" w:after="240"/>
        <w:jc w:val="center"/>
      </w:pPr>
      <w:r>
        <w:t xml:space="preserve">Par son procédé unique de laminage et de traitement, </w:t>
      </w:r>
      <w:r>
        <w:rPr>
          <w:rStyle w:val="cap"/>
        </w:rPr>
        <w:t>l'</w:t>
      </w:r>
      <w:r>
        <w:rPr>
          <w:rStyle w:val="cap"/>
          <w:b/>
          <w:bCs/>
        </w:rPr>
        <w:t>aluminium</w:t>
      </w:r>
      <w:r>
        <w:rPr>
          <w:rStyle w:val="cap"/>
        </w:rPr>
        <w:t xml:space="preserve"> spécial </w:t>
      </w:r>
      <w:r>
        <w:rPr>
          <w:rStyle w:val="cap"/>
          <w:b/>
          <w:bCs/>
          <w:i/>
          <w:iCs/>
        </w:rPr>
        <w:t xml:space="preserve">"endur-al®" </w:t>
      </w:r>
      <w:r>
        <w:t>offre une résistance de 20% supérieure aux meilleurs alliages habituellement utilisés.</w:t>
      </w:r>
    </w:p>
    <w:p>
      <w:pPr>
        <w:spacing w:before="240" w:after="240"/>
        <w:jc w:val="center"/>
      </w:pPr>
      <w:r>
        <w:t xml:space="preserve">La benne Grand Volume </w:t>
      </w:r>
      <w:r>
        <w:rPr>
          <w:rStyle w:val="cap"/>
        </w:rPr>
        <w:t xml:space="preserve">Aluminium </w:t>
      </w:r>
      <w:r>
        <w:rPr>
          <w:rStyle w:val="cap"/>
          <w:i/>
          <w:iCs/>
        </w:rPr>
        <w:t>fruehauf</w:t>
      </w:r>
      <w:r>
        <w:t xml:space="preserve"> est exclusivement réalisée avec ce nouvel alliage de très haute qualité pour une charge utile maximum.</w:t>
      </w:r>
    </w:p>
    <w:p>
      <w:pPr>
        <w:jc w:val="center"/>
      </w:pPr>
      <w:hyperlink w:anchor="recyclables" w:tgtFrame="_self" w:history="1">
        <w:r>
          <w:rPr>
            <w:rStyle w:val="fusion-button-text"/>
            <w:color w:val="0000EE"/>
            <w:u w:val="single" w:color="0000EE"/>
          </w:rPr>
          <w:t>Acier Spécial de type Hardox®</w:t>
        </w:r>
      </w:hyperlink>
    </w:p>
    <w:p>
      <w:pPr>
        <w:spacing w:before="240" w:after="240"/>
        <w:jc w:val="center"/>
      </w:pPr>
      <w:r>
        <w:t xml:space="preserve">Destiné aux applications les plus sévères, </w:t>
      </w:r>
      <w:r>
        <w:rPr>
          <w:rStyle w:val="cap"/>
        </w:rPr>
        <w:t>l'</w:t>
      </w:r>
      <w:r>
        <w:rPr>
          <w:rStyle w:val="cap"/>
          <w:b/>
          <w:bCs/>
        </w:rPr>
        <w:t>acier</w:t>
      </w:r>
      <w:r>
        <w:rPr>
          <w:rStyle w:val="cap"/>
        </w:rPr>
        <w:t xml:space="preserve"> spécial </w:t>
      </w:r>
      <w:r>
        <w:t xml:space="preserve">de type </w:t>
      </w:r>
      <w:r>
        <w:rPr>
          <w:b/>
          <w:bCs/>
        </w:rPr>
        <w:t xml:space="preserve">HARDOX® </w:t>
      </w:r>
      <w:r>
        <w:t>est le résultat d'un procédé de production de haute technologie qui rend la tôle plus dure pour une durée de vie plus longue.</w:t>
      </w:r>
    </w:p>
    <w:p>
      <w:pPr>
        <w:spacing w:before="240" w:after="240"/>
        <w:jc w:val="center"/>
      </w:pPr>
      <w:r>
        <w:t xml:space="preserve">La Benne Grand Volume </w:t>
      </w:r>
      <w:r>
        <w:rPr>
          <w:rStyle w:val="cap"/>
        </w:rPr>
        <w:t xml:space="preserve">acier </w:t>
      </w:r>
      <w:r>
        <w:rPr>
          <w:rStyle w:val="cap"/>
          <w:i/>
          <w:iCs/>
        </w:rPr>
        <w:t>Fruehauf</w:t>
      </w:r>
      <w:r>
        <w:t xml:space="preserve"> réalisée avec cet acier spécial, est donc particulièrement adaptée aux transports de produits très agressifs.</w:t>
      </w:r>
    </w:p>
    <w:bookmarkStart w:id="0" w:name="produits_agroalimentaires"/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Céréales - Produits Agroalimentaires – Industrie Chimie</w:t>
      </w:r>
    </w:p>
    <w:bookmarkEnd w:id="0"/>
    <w:p>
      <w:pPr>
        <w:spacing w:before="240" w:after="240"/>
      </w:pPr>
      <w:r>
        <w:t xml:space="preserve">Conçues spécialement pour une charge utile maximum, les Bennes Grand Volume </w:t>
      </w:r>
      <w:r>
        <w:rPr>
          <w:rStyle w:val="cap"/>
          <w:b/>
          <w:bCs/>
        </w:rPr>
        <w:t>aluminium</w:t>
      </w:r>
      <w:r>
        <w:rPr>
          <w:rStyle w:val="cap"/>
        </w:rPr>
        <w:t xml:space="preserve"> </w:t>
      </w:r>
      <w:r>
        <w:rPr>
          <w:rStyle w:val="cap"/>
          <w:i/>
          <w:iCs/>
        </w:rPr>
        <w:t>Fruehauf</w:t>
      </w:r>
      <w:r>
        <w:rPr>
          <w:rStyle w:val="cap"/>
        </w:rPr>
        <w:t xml:space="preserve"> </w:t>
      </w:r>
      <w:r>
        <w:rPr>
          <w:i/>
          <w:iCs/>
        </w:rPr>
        <w:t>AgroMax</w:t>
      </w:r>
      <w:r>
        <w:rPr>
          <w:i/>
          <w:iCs/>
          <w:sz w:val="30"/>
          <w:szCs w:val="30"/>
          <w:vertAlign w:val="superscript"/>
        </w:rPr>
        <w:t>®</w:t>
      </w:r>
      <w:r>
        <w:t xml:space="preserve"> répondent parfaitement, au meilleur rapport qualité/prix, aux besoins des transports de produits agroalimentaires, chimiques, recyclables ou vrac de faible densité.</w:t>
      </w:r>
    </w:p>
    <w:p>
      <w:pPr>
        <w:spacing w:after="240"/>
        <w:ind w:left="0" w:right="0"/>
        <w:jc w:val="center"/>
      </w:pPr>
      <w:r>
        <w:rPr>
          <w:strike w:val="0"/>
          <w:u w:val="none"/>
        </w:rPr>
        <w:drawing>
          <wp:anchor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943850" cy="2857500"/>
            <wp:effectExtent l="38100" t="38100" r="47625" b="38100"/>
            <wp:wrapSquare wrapText="bothSides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2857500"/>
                    </a:xfrm>
                    <a:prstGeom prst="rect">
                      <a:avLst/>
                    </a:prstGeom>
                    <a:ln w="19050">
                      <a:solidFill>
                        <a:srgbClr val="CFCFCF"/>
                      </a:solidFill>
                      <a:prstDash val="solid"/>
                      <a:miter lim="0"/>
                    </a:ln>
                  </pic:spPr>
                </pic:pic>
              </a:graphicData>
            </a:graphic>
          </wp:anchor>
        </w:drawing>
      </w:r>
    </w:p>
    <w:p>
      <w:pPr>
        <w:spacing w:after="240"/>
        <w:ind w:left="0" w:right="0"/>
        <w:jc w:val="center"/>
      </w:pPr>
      <w:r>
        <w:rPr>
          <w:strike w:val="0"/>
          <w:u w:val="none"/>
        </w:rPr>
        <w:drawing>
          <wp:anchor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943850" cy="2857500"/>
            <wp:effectExtent l="38100" t="38100" r="47625" b="38100"/>
            <wp:wrapSquare wrapText="bothSides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2857500"/>
                    </a:xfrm>
                    <a:prstGeom prst="rect">
                      <a:avLst/>
                    </a:prstGeom>
                    <a:ln w="19050">
                      <a:solidFill>
                        <a:srgbClr val="CFCFCF"/>
                      </a:solidFill>
                      <a:prstDash val="solid"/>
                      <a:miter lim="0"/>
                    </a:ln>
                  </pic:spPr>
                </pic:pic>
              </a:graphicData>
            </a:graphic>
          </wp:anchor>
        </w:drawing>
      </w:r>
    </w:p>
    <w:p>
      <w:pPr>
        <w:spacing w:after="240"/>
        <w:ind w:left="0" w:right="0"/>
        <w:jc w:val="center"/>
      </w:pPr>
      <w:r>
        <w:rPr>
          <w:strike w:val="0"/>
          <w:u w:val="none"/>
        </w:rPr>
        <w:drawing>
          <wp:anchor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943850" cy="2857500"/>
            <wp:effectExtent l="38100" t="38100" r="47625" b="38100"/>
            <wp:wrapSquare wrapText="bothSides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2857500"/>
                    </a:xfrm>
                    <a:prstGeom prst="rect">
                      <a:avLst/>
                    </a:prstGeom>
                    <a:ln w="19050">
                      <a:solidFill>
                        <a:srgbClr val="CFCFCF"/>
                      </a:solidFill>
                      <a:prstDash val="solid"/>
                      <a:miter lim="0"/>
                    </a:ln>
                  </pic:spPr>
                </pic:pic>
              </a:graphicData>
            </a:graphic>
          </wp:anchor>
        </w:drawing>
      </w:r>
    </w:p>
    <w:p>
      <w:pPr>
        <w:spacing w:after="0"/>
        <w:ind w:left="0" w:right="0"/>
        <w:rPr>
          <w:sz w:val="24"/>
          <w:szCs w:val="24"/>
        </w:rPr>
      </w:pPr>
      <w:r>
        <w:rPr>
          <w:sz w:val="1"/>
          <w:szCs w:val="1"/>
        </w:rPr>
        <w:br w:type="textWrapping" w:clear="all"/>
      </w:r>
    </w:p>
    <w:p>
      <w:pPr>
        <w:pStyle w:val="Heading3"/>
        <w:keepNext w:val="0"/>
        <w:keepLines w:val="0"/>
        <w:spacing w:before="300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AgroMax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La Charge Utile Maximum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De 37 à 64 m</w:t>
      </w:r>
      <w:r>
        <w:rPr>
          <w:rFonts w:ascii="Times New Roman" w:eastAsia="Times New Roman" w:hAnsi="Times New Roman" w:cs="Times New Roman"/>
          <w:i w:val="0"/>
          <w:iCs w:val="0"/>
          <w:color w:val="009EEF"/>
          <w:sz w:val="30"/>
          <w:szCs w:val="30"/>
          <w:vertAlign w:val="superscript"/>
        </w:rPr>
        <w:t>3</w:t>
      </w:r>
    </w:p>
    <w:p>
      <w:pPr>
        <w:spacing w:before="240" w:after="240"/>
      </w:pPr>
      <w:r>
        <w:t>Sa construction modulaire à faces lisses permet une grande variabilité de volumes avec des longueurs et des hauteurs adaptées à tous les besoins.</w:t>
      </w:r>
    </w:p>
    <w:p>
      <w:pPr>
        <w:spacing w:before="240" w:after="240"/>
      </w:pPr>
      <w:r>
        <w:t xml:space="preserve">Son fond en </w:t>
      </w:r>
      <w:r>
        <w:rPr>
          <w:rStyle w:val="cap"/>
          <w:b/>
          <w:bCs/>
        </w:rPr>
        <w:t>aluminium</w:t>
      </w:r>
      <w:r>
        <w:rPr>
          <w:rStyle w:val="cap"/>
        </w:rPr>
        <w:t xml:space="preserve"> spécial</w:t>
      </w:r>
      <w:r>
        <w:t xml:space="preserve"> </w:t>
      </w:r>
      <w:r>
        <w:rPr>
          <w:b/>
          <w:bCs/>
          <w:i/>
          <w:iCs/>
        </w:rPr>
        <w:t>"ENDUR-AL</w:t>
      </w:r>
      <w:r>
        <w:rPr>
          <w:b/>
          <w:bCs/>
          <w:i/>
          <w:iCs/>
          <w:sz w:val="30"/>
          <w:szCs w:val="30"/>
          <w:vertAlign w:val="superscript"/>
        </w:rPr>
        <w:t>®</w:t>
      </w:r>
      <w:r>
        <w:rPr>
          <w:b/>
          <w:bCs/>
          <w:i/>
          <w:iCs/>
        </w:rPr>
        <w:t xml:space="preserve">" </w:t>
      </w:r>
      <w:r>
        <w:t>et ses côtés obliques soudés en continu offrent une résistance à l’abrasion et une robustesse inégalée.</w:t>
      </w:r>
    </w:p>
    <w:p>
      <w:pPr>
        <w:numPr>
          <w:ilvl w:val="0"/>
          <w:numId w:val="1"/>
        </w:numPr>
        <w:spacing w:before="240"/>
        <w:ind w:left="720" w:hanging="210"/>
        <w:jc w:val="left"/>
      </w:pPr>
      <w:r>
        <w:rPr>
          <w:b/>
          <w:bCs/>
        </w:rPr>
        <w:t>Résistance à l’abrasion inégalée</w:t>
      </w:r>
    </w:p>
    <w:p>
      <w:pPr>
        <w:numPr>
          <w:ilvl w:val="0"/>
          <w:numId w:val="1"/>
        </w:numPr>
        <w:ind w:left="720" w:hanging="210"/>
        <w:jc w:val="left"/>
      </w:pPr>
      <w:r>
        <w:rPr>
          <w:b/>
          <w:bCs/>
        </w:rPr>
        <w:t>Longévité d’utilisation</w:t>
      </w:r>
    </w:p>
    <w:p>
      <w:pPr>
        <w:numPr>
          <w:ilvl w:val="0"/>
          <w:numId w:val="1"/>
        </w:numPr>
        <w:spacing w:after="240"/>
        <w:ind w:left="720" w:hanging="210"/>
        <w:jc w:val="left"/>
      </w:pPr>
      <w:r>
        <w:rPr>
          <w:b/>
          <w:bCs/>
        </w:rPr>
        <w:t>Robustesse et légèreté</w:t>
      </w:r>
    </w:p>
    <w:p>
      <w:r>
        <w:rPr>
          <w:rStyle w:val="entry-titlerich-snippet-hidden"/>
        </w:rPr>
        <w:t>AgroMax</w:t>
      </w:r>
      <w:hyperlink r:id="rId7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2021-01-25T11:16:38+01:00</w:t>
      </w:r>
    </w:p>
    <w:p>
      <w:r>
        <w:rPr>
          <w:strike w:val="0"/>
          <w:u w:val="none"/>
        </w:rPr>
        <w:drawing>
          <wp:inline>
            <wp:extent cx="20116800" cy="12003024"/>
            <wp:docPr id="100007" name="" descr="Fruehauf – bennes grand volume - Agro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9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10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0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AgroMax</w:t>
        </w:r>
      </w:hyperlink>
    </w:p>
    <w:p>
      <w:hyperlink r:id="rId11" w:history="1">
        <w:r>
          <w:rPr>
            <w:color w:val="0000EE"/>
            <w:u w:val="single" w:color="0000EE"/>
          </w:rPr>
          <w:t>Bennes GV AgroMax</w:t>
        </w:r>
      </w:hyperlink>
    </w:p>
    <w:p>
      <w:r>
        <w:rPr>
          <w:rStyle w:val="entry-titlerich-snippet-hidden"/>
        </w:rPr>
        <w:t>Porte arrière oscillante</w:t>
      </w:r>
      <w:hyperlink r:id="rId7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2021-01-25T11:17:07+01:00</w:t>
      </w:r>
    </w:p>
    <w:p>
      <w:r>
        <w:rPr>
          <w:strike w:val="0"/>
          <w:u w:val="none"/>
        </w:rPr>
        <w:drawing>
          <wp:inline>
            <wp:extent cx="20116800" cy="12003024"/>
            <wp:docPr id="100009" name="" descr="Fruehauf – bennes grand volume - Agro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3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14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4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Porte arrière oscillante</w:t>
        </w:r>
      </w:hyperlink>
    </w:p>
    <w:p>
      <w:hyperlink r:id="rId11" w:history="1">
        <w:r>
          <w:rPr>
            <w:color w:val="0000EE"/>
            <w:u w:val="single" w:color="0000EE"/>
          </w:rPr>
          <w:t>Bennes GV AgroMax</w:t>
        </w:r>
      </w:hyperlink>
    </w:p>
    <w:p>
      <w:r>
        <w:rPr>
          <w:rStyle w:val="entry-titlerich-snippet-hidden"/>
        </w:rPr>
        <w:t>Pare-chocs aluminium</w:t>
      </w:r>
      <w:hyperlink r:id="rId7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2021-01-25T11:17:32+01:00</w:t>
      </w:r>
    </w:p>
    <w:p>
      <w:r>
        <w:rPr>
          <w:strike w:val="0"/>
          <w:u w:val="none"/>
        </w:rPr>
        <w:drawing>
          <wp:inline>
            <wp:extent cx="20116800" cy="12003024"/>
            <wp:docPr id="100011" name="" descr="Fruehauf – bennes grand volume - Agro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6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17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7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Pare-chocs aluminium</w:t>
        </w:r>
      </w:hyperlink>
    </w:p>
    <w:p>
      <w:hyperlink r:id="rId11" w:history="1">
        <w:r>
          <w:rPr>
            <w:color w:val="0000EE"/>
            <w:u w:val="single" w:color="0000EE"/>
          </w:rPr>
          <w:t>Bennes GV AgroMax</w:t>
        </w:r>
      </w:hyperlink>
    </w:p>
    <w:p>
      <w:r>
        <w:rPr>
          <w:rStyle w:val="entry-titlerich-snippet-hidden"/>
        </w:rPr>
        <w:t>Caisse modulaire à face lisse</w:t>
      </w:r>
      <w:hyperlink r:id="rId7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2021-01-25T11:17:46+01:00</w:t>
      </w:r>
    </w:p>
    <w:p>
      <w:r>
        <w:rPr>
          <w:strike w:val="0"/>
          <w:u w:val="none"/>
        </w:rPr>
        <w:drawing>
          <wp:inline>
            <wp:extent cx="20116800" cy="12003024"/>
            <wp:docPr id="100013" name="" descr="Fruehauf – bennes grand volume - Agro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9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20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20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Caisse modulaire à face lisse</w:t>
        </w:r>
      </w:hyperlink>
    </w:p>
    <w:p>
      <w:hyperlink r:id="rId11" w:history="1">
        <w:r>
          <w:rPr>
            <w:color w:val="0000EE"/>
            <w:u w:val="single" w:color="0000EE"/>
          </w:rPr>
          <w:t>Bennes GV AgroMax</w:t>
        </w:r>
      </w:hyperlink>
    </w:p>
    <w:p>
      <w:r>
        <w:rPr>
          <w:rStyle w:val="entry-titlerich-snippet-hidden"/>
        </w:rPr>
        <w:t>Caisse renforcée</w:t>
      </w:r>
      <w:hyperlink r:id="rId7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2021-01-25T11:17:53+01:00</w:t>
      </w:r>
    </w:p>
    <w:p>
      <w:r>
        <w:rPr>
          <w:strike w:val="0"/>
          <w:u w:val="none"/>
        </w:rPr>
        <w:drawing>
          <wp:inline>
            <wp:extent cx="20116800" cy="12003024"/>
            <wp:docPr id="100015" name="" descr="Fruehauf – bennes grand volume - Agro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22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23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23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Caisse renforcée</w:t>
        </w:r>
      </w:hyperlink>
    </w:p>
    <w:p>
      <w:hyperlink r:id="rId11" w:history="1">
        <w:r>
          <w:rPr>
            <w:color w:val="0000EE"/>
            <w:u w:val="single" w:color="0000EE"/>
          </w:rPr>
          <w:t>Bennes GV AgroMax</w:t>
        </w:r>
      </w:hyperlink>
    </w:p>
    <w:p>
      <w:hyperlink r:id="rId24" w:tgtFrame="_self" w:tooltip="Documentation" w:history="1">
        <w:r>
          <w:rPr>
            <w:rStyle w:val="fusion-button-text"/>
            <w:color w:val="0000EE"/>
            <w:u w:val="single" w:color="0000EE"/>
          </w:rPr>
          <w:t>Documentation</w:t>
        </w:r>
      </w:hyperlink>
    </w:p>
    <w:bookmarkStart w:id="1" w:name="recyclables"/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Produits de recyclage - Ferraille</w:t>
      </w:r>
    </w:p>
    <w:bookmarkEnd w:id="1"/>
    <w:p>
      <w:pPr>
        <w:spacing w:before="240" w:after="240"/>
      </w:pPr>
      <w:r>
        <w:t xml:space="preserve">Fruit de notre savoir-faire en tant que leader dans la fabrication des bennes en acier, la Benne grand volume </w:t>
      </w:r>
      <w:r>
        <w:rPr>
          <w:i/>
          <w:iCs/>
        </w:rPr>
        <w:t>FRUEHAUF</w:t>
      </w:r>
      <w:r>
        <w:t xml:space="preserve"> </w:t>
      </w:r>
      <w:r>
        <w:rPr>
          <w:i/>
          <w:iCs/>
        </w:rPr>
        <w:t>Scrap</w:t>
      </w:r>
      <w:r>
        <w:t xml:space="preserve"> est particulièrement adaptée aux transports de produits volumineux et très agressifs : ferraille, verre brisé, produits de recyclage.</w:t>
      </w:r>
    </w:p>
    <w:p>
      <w:pPr>
        <w:spacing w:after="240"/>
        <w:ind w:left="0" w:right="0"/>
        <w:jc w:val="center"/>
      </w:pPr>
      <w:r>
        <w:rPr>
          <w:strike w:val="0"/>
          <w:u w:val="none"/>
        </w:rPr>
        <w:drawing>
          <wp:anchor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943850" cy="2857500"/>
            <wp:effectExtent l="38100" t="38100" r="47625" b="38100"/>
            <wp:wrapSquare wrapText="bothSides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2857500"/>
                    </a:xfrm>
                    <a:prstGeom prst="rect">
                      <a:avLst/>
                    </a:prstGeom>
                    <a:ln w="19050">
                      <a:solidFill>
                        <a:srgbClr val="CFCFCF"/>
                      </a:solidFill>
                      <a:prstDash val="solid"/>
                      <a:miter lim="0"/>
                    </a:ln>
                  </pic:spPr>
                </pic:pic>
              </a:graphicData>
            </a:graphic>
          </wp:anchor>
        </w:drawing>
      </w:r>
    </w:p>
    <w:p>
      <w:pPr>
        <w:spacing w:after="240"/>
        <w:ind w:left="0" w:right="0"/>
        <w:jc w:val="center"/>
      </w:pPr>
      <w:r>
        <w:rPr>
          <w:strike w:val="0"/>
          <w:u w:val="none"/>
        </w:rPr>
        <w:drawing>
          <wp:anchor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943850" cy="2857500"/>
            <wp:effectExtent l="38100" t="38100" r="47625" b="38100"/>
            <wp:wrapSquare wrapText="bothSides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2857500"/>
                    </a:xfrm>
                    <a:prstGeom prst="rect">
                      <a:avLst/>
                    </a:prstGeom>
                    <a:ln w="19050">
                      <a:solidFill>
                        <a:srgbClr val="CFCFCF"/>
                      </a:solidFill>
                      <a:prstDash val="solid"/>
                      <a:miter lim="0"/>
                    </a:ln>
                  </pic:spPr>
                </pic:pic>
              </a:graphicData>
            </a:graphic>
          </wp:anchor>
        </w:drawing>
      </w:r>
    </w:p>
    <w:p>
      <w:pPr>
        <w:spacing w:after="240"/>
        <w:ind w:left="0" w:right="0"/>
        <w:jc w:val="center"/>
      </w:pPr>
      <w:r>
        <w:rPr>
          <w:strike w:val="0"/>
          <w:u w:val="none"/>
        </w:rPr>
        <w:drawing>
          <wp:anchor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943850" cy="2857500"/>
            <wp:effectExtent l="38100" t="38100" r="47625" b="38100"/>
            <wp:wrapSquare wrapText="bothSides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2857500"/>
                    </a:xfrm>
                    <a:prstGeom prst="rect">
                      <a:avLst/>
                    </a:prstGeom>
                    <a:ln w="19050">
                      <a:solidFill>
                        <a:srgbClr val="CFCFCF"/>
                      </a:solidFill>
                      <a:prstDash val="solid"/>
                      <a:miter lim="0"/>
                    </a:ln>
                  </pic:spPr>
                </pic:pic>
              </a:graphicData>
            </a:graphic>
          </wp:anchor>
        </w:drawing>
      </w:r>
    </w:p>
    <w:p>
      <w:pPr>
        <w:spacing w:after="0"/>
        <w:ind w:left="0" w:right="0"/>
        <w:rPr>
          <w:sz w:val="24"/>
          <w:szCs w:val="24"/>
        </w:rPr>
      </w:pPr>
      <w:r>
        <w:rPr>
          <w:sz w:val="1"/>
          <w:szCs w:val="1"/>
        </w:rPr>
        <w:br w:type="textWrapping" w:clear="all"/>
      </w:r>
    </w:p>
    <w:p>
      <w:pPr>
        <w:pStyle w:val="Heading3"/>
        <w:keepNext w:val="0"/>
        <w:keepLines w:val="0"/>
        <w:spacing w:before="300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Scrap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La Résistance aux chocs et à l'abrasion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De 51 à 55 m</w:t>
      </w:r>
      <w:r>
        <w:rPr>
          <w:rFonts w:ascii="Times New Roman" w:eastAsia="Times New Roman" w:hAnsi="Times New Roman" w:cs="Times New Roman"/>
          <w:i w:val="0"/>
          <w:iCs w:val="0"/>
          <w:color w:val="009EEF"/>
          <w:sz w:val="30"/>
          <w:szCs w:val="30"/>
          <w:vertAlign w:val="superscript"/>
        </w:rPr>
        <w:t>3</w:t>
      </w:r>
    </w:p>
    <w:p>
      <w:pPr>
        <w:spacing w:before="240" w:after="240"/>
      </w:pPr>
      <w:r>
        <w:t xml:space="preserve">Equipée d'une caisse en </w:t>
      </w:r>
      <w:r>
        <w:rPr>
          <w:rStyle w:val="cap"/>
          <w:b/>
          <w:bCs/>
        </w:rPr>
        <w:t>acier spécial</w:t>
      </w:r>
      <w:r>
        <w:rPr>
          <w:b/>
          <w:bCs/>
        </w:rPr>
        <w:t xml:space="preserve"> </w:t>
      </w:r>
      <w:r>
        <w:t xml:space="preserve">de type </w:t>
      </w:r>
      <w:r>
        <w:rPr>
          <w:b/>
          <w:bCs/>
          <w:i/>
          <w:iCs/>
        </w:rPr>
        <w:t>HARDOX</w:t>
      </w:r>
      <w:r>
        <w:rPr>
          <w:b/>
          <w:bCs/>
          <w:i/>
          <w:iCs/>
          <w:sz w:val="30"/>
          <w:szCs w:val="30"/>
          <w:vertAlign w:val="superscript"/>
        </w:rPr>
        <w:t>®</w:t>
      </w:r>
      <w:r>
        <w:t>, elle présente la plus grande résistance à l'abrasion et aux impacts.</w:t>
      </w:r>
    </w:p>
    <w:p>
      <w:pPr>
        <w:spacing w:before="240" w:after="240"/>
      </w:pPr>
      <w:r>
        <w:t>Grâce à la conception de sa caisse et à son châssis acier optimisé, elle offre une charge utile particulièrement élevée.</w:t>
      </w:r>
    </w:p>
    <w:p>
      <w:pPr>
        <w:numPr>
          <w:ilvl w:val="0"/>
          <w:numId w:val="2"/>
        </w:numPr>
        <w:spacing w:before="240"/>
        <w:ind w:left="720" w:hanging="210"/>
        <w:jc w:val="left"/>
      </w:pPr>
      <w:r>
        <w:rPr>
          <w:b/>
          <w:bCs/>
        </w:rPr>
        <w:t>Résistance à l’abrasion</w:t>
      </w:r>
    </w:p>
    <w:p>
      <w:pPr>
        <w:numPr>
          <w:ilvl w:val="0"/>
          <w:numId w:val="2"/>
        </w:numPr>
        <w:ind w:left="720" w:hanging="210"/>
        <w:jc w:val="left"/>
      </w:pPr>
      <w:r>
        <w:rPr>
          <w:b/>
          <w:bCs/>
        </w:rPr>
        <w:t>Résistance aux chocs</w:t>
      </w:r>
    </w:p>
    <w:p>
      <w:pPr>
        <w:numPr>
          <w:ilvl w:val="0"/>
          <w:numId w:val="2"/>
        </w:numPr>
        <w:spacing w:after="240"/>
        <w:ind w:left="720" w:hanging="210"/>
        <w:jc w:val="left"/>
      </w:pPr>
      <w:r>
        <w:rPr>
          <w:b/>
          <w:bCs/>
        </w:rPr>
        <w:t>Robustesse et légèreté</w:t>
      </w:r>
    </w:p>
    <w:p>
      <w:r>
        <w:rPr>
          <w:rStyle w:val="entry-titlerich-snippet-hidden"/>
        </w:rPr>
        <w:t>Scrap</w:t>
      </w:r>
      <w:hyperlink r:id="rId7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2021-01-25T11:40:37+01:00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3" name="" descr="Fruehauf – bennes grand volume - Scr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29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30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30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Scrap</w:t>
        </w:r>
      </w:hyperlink>
    </w:p>
    <w:p>
      <w:hyperlink r:id="rId31" w:history="1">
        <w:r>
          <w:rPr>
            <w:color w:val="0000EE"/>
            <w:u w:val="single" w:color="0000EE"/>
          </w:rPr>
          <w:t>Bennes GV Scrap</w:t>
        </w:r>
      </w:hyperlink>
    </w:p>
    <w:p>
      <w:r>
        <w:rPr>
          <w:rStyle w:val="entry-titlerich-snippet-hidden"/>
        </w:rPr>
        <w:t>Scrap</w:t>
      </w:r>
      <w:hyperlink r:id="rId7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2021-01-25T11:40:35+01:00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5" name="" descr="Fruehauf – bennes grand volume - Scr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3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34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34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Scrap</w:t>
        </w:r>
      </w:hyperlink>
    </w:p>
    <w:p>
      <w:hyperlink r:id="rId31" w:history="1">
        <w:r>
          <w:rPr>
            <w:color w:val="0000EE"/>
            <w:u w:val="single" w:color="0000EE"/>
          </w:rPr>
          <w:t>Bennes GV Scrap</w:t>
        </w:r>
      </w:hyperlink>
    </w:p>
    <w:p>
      <w:r>
        <w:rPr>
          <w:rStyle w:val="entry-titlerich-snippet-hidden"/>
        </w:rPr>
        <w:t>Scrap</w:t>
      </w:r>
      <w:hyperlink r:id="rId7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2021-01-25T11:40:40+01:00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7" name="" descr="Fruehauf – bennes grand volume - Scr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6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37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37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Scrap</w:t>
        </w:r>
      </w:hyperlink>
    </w:p>
    <w:p>
      <w:hyperlink r:id="rId31" w:history="1">
        <w:r>
          <w:rPr>
            <w:color w:val="0000EE"/>
            <w:u w:val="single" w:color="0000EE"/>
          </w:rPr>
          <w:t>Bennes GV Scrap</w:t>
        </w:r>
      </w:hyperlink>
    </w:p>
    <w:p>
      <w:r>
        <w:rPr>
          <w:rStyle w:val="entry-titlerich-snippet-hidden"/>
        </w:rPr>
        <w:t>Ouverture latérale de sécurité</w:t>
      </w:r>
      <w:hyperlink r:id="rId7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2021-01-25T11:40:53+01:00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9" name="" descr="Fruehauf – bennes grand volume - Scr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9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40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40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Ouverture latérale de sécurité</w:t>
        </w:r>
      </w:hyperlink>
    </w:p>
    <w:p>
      <w:hyperlink r:id="rId31" w:history="1">
        <w:r>
          <w:rPr>
            <w:color w:val="0000EE"/>
            <w:u w:val="single" w:color="0000EE"/>
          </w:rPr>
          <w:t>Bennes GV Scrap</w:t>
        </w:r>
      </w:hyperlink>
    </w:p>
    <w:p>
      <w:r>
        <w:rPr>
          <w:rStyle w:val="entry-titlerich-snippet-hidden"/>
        </w:rPr>
        <w:t>Parois latérales monobloc</w:t>
      </w:r>
      <w:hyperlink r:id="rId7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2021-01-25T11:40:53+01:00</w:t>
      </w:r>
    </w:p>
    <w:p>
      <w:r>
        <w:rPr>
          <w:strike w:val="0"/>
          <w:u w:val="none"/>
        </w:rPr>
        <w:drawing>
          <wp:inline>
            <wp:extent cx="20116800" cy="12003024"/>
            <wp:docPr id="100031" name="" descr="Fruehauf – bennes grand volume - Scr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42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43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43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Parois latérales monobloc</w:t>
        </w:r>
      </w:hyperlink>
    </w:p>
    <w:p>
      <w:hyperlink r:id="rId31" w:history="1">
        <w:r>
          <w:rPr>
            <w:color w:val="0000EE"/>
            <w:u w:val="single" w:color="0000EE"/>
          </w:rPr>
          <w:t>Bennes GV Scrap</w:t>
        </w:r>
      </w:hyperlink>
    </w:p>
    <w:p>
      <w:r>
        <w:rPr>
          <w:rStyle w:val="entry-titlerich-snippet-hidden"/>
        </w:rPr>
        <w:t>Fond renforcé</w:t>
      </w:r>
      <w:hyperlink r:id="rId7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2021-01-25T11:41:10+01:00</w:t>
      </w:r>
    </w:p>
    <w:p>
      <w:r>
        <w:rPr>
          <w:strike w:val="0"/>
          <w:u w:val="none"/>
        </w:rPr>
        <w:drawing>
          <wp:inline>
            <wp:extent cx="20116800" cy="12003024"/>
            <wp:docPr id="100033" name="" descr="Fruehauf – bennes grand volume - Scr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45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46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46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Fond renforcé</w:t>
        </w:r>
      </w:hyperlink>
    </w:p>
    <w:p>
      <w:hyperlink r:id="rId31" w:history="1">
        <w:r>
          <w:rPr>
            <w:color w:val="0000EE"/>
            <w:u w:val="single" w:color="0000EE"/>
          </w:rPr>
          <w:t>Bennes GV Scrap</w:t>
        </w:r>
      </w:hyperlink>
    </w:p>
    <w:p>
      <w:r>
        <w:rPr>
          <w:rStyle w:val="entry-titlerich-snippet-hidden"/>
        </w:rPr>
        <w:t>Latte aluminium de protection du bâchage</w:t>
      </w:r>
      <w:hyperlink r:id="rId7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2021-01-25T11:41:12+01:00</w:t>
      </w:r>
    </w:p>
    <w:p>
      <w:r>
        <w:rPr>
          <w:strike w:val="0"/>
          <w:u w:val="none"/>
        </w:rPr>
        <w:drawing>
          <wp:inline>
            <wp:extent cx="20116800" cy="12003024"/>
            <wp:docPr id="100035" name="" descr="Fruehauf – bennes grand volume - Scr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48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49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49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Latte aluminium de protection du bâchage</w:t>
        </w:r>
      </w:hyperlink>
    </w:p>
    <w:p>
      <w:hyperlink r:id="rId31" w:history="1">
        <w:r>
          <w:rPr>
            <w:color w:val="0000EE"/>
            <w:u w:val="single" w:color="0000EE"/>
          </w:rPr>
          <w:t>Bennes GV Scrap</w:t>
        </w:r>
      </w:hyperlink>
    </w:p>
    <w:p>
      <w:hyperlink r:id="rId24" w:tgtFrame="_self" w:tooltip="Documentation" w:history="1">
        <w:r>
          <w:rPr>
            <w:rStyle w:val="fusion-button-text"/>
            <w:color w:val="0000EE"/>
            <w:u w:val="single" w:color="0000EE"/>
          </w:rPr>
          <w:t>Documentation</w:t>
        </w:r>
      </w:hyperlink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Les innovations</w:t>
      </w:r>
    </w:p>
    <w:p>
      <w:pPr>
        <w:spacing w:before="240" w:after="240"/>
      </w:pPr>
      <w:r>
        <w:t xml:space="preserve">Les Bennes Grand Volume </w:t>
      </w:r>
      <w:r>
        <w:rPr>
          <w:rStyle w:val="cap"/>
          <w:i/>
          <w:iCs/>
        </w:rPr>
        <w:t>Fruehauf</w:t>
      </w:r>
      <w:r>
        <w:rPr>
          <w:i/>
          <w:iCs/>
        </w:rPr>
        <w:t xml:space="preserve"> </w:t>
      </w:r>
      <w:r>
        <w:t>ont été conçues pour une sécurité maximale, s'articulant sur deux aspects majeurs :</w:t>
      </w:r>
    </w:p>
    <w:p>
      <w:pPr>
        <w:spacing w:before="240" w:after="240"/>
      </w:pPr>
      <w:r>
        <w:rPr>
          <w:color w:val="009EEF"/>
        </w:rPr>
        <w:t xml:space="preserve">Sécurité des personnes </w:t>
      </w:r>
      <w:r>
        <w:t>utilisatrices en contact avec le véhicule, par une ergonomie des formes de pièces et d'équipements adaptés facilitant l'utilisation.</w:t>
      </w:r>
    </w:p>
    <w:p>
      <w:pPr>
        <w:spacing w:before="240" w:after="240"/>
      </w:pPr>
      <w:r>
        <w:rPr>
          <w:color w:val="009EEF"/>
        </w:rPr>
        <w:t xml:space="preserve">Sécurité du comportement routier </w:t>
      </w:r>
      <w:r>
        <w:t>avec l'intégration de systèmes électroniques d'assistance à la conduite, améliorant la sécurité passive et active du véhicule.</w:t>
      </w:r>
    </w:p>
    <w:p>
      <w:pPr>
        <w:numPr>
          <w:ilvl w:val="0"/>
          <w:numId w:val="3"/>
        </w:numPr>
        <w:spacing w:before="240"/>
        <w:ind w:left="720" w:hanging="210"/>
        <w:jc w:val="left"/>
      </w:pPr>
      <w:r>
        <w:rPr>
          <w:b/>
          <w:bCs/>
        </w:rPr>
        <w:t>Ergonomie et esthétisme</w:t>
      </w:r>
    </w:p>
    <w:p>
      <w:pPr>
        <w:numPr>
          <w:ilvl w:val="0"/>
          <w:numId w:val="3"/>
        </w:numPr>
        <w:ind w:left="720" w:hanging="210"/>
        <w:jc w:val="left"/>
      </w:pPr>
      <w:r>
        <w:rPr>
          <w:b/>
          <w:bCs/>
        </w:rPr>
        <w:t>Equipements adaptés</w:t>
      </w:r>
    </w:p>
    <w:p>
      <w:pPr>
        <w:numPr>
          <w:ilvl w:val="0"/>
          <w:numId w:val="3"/>
        </w:numPr>
        <w:spacing w:after="240"/>
        <w:ind w:left="720" w:hanging="210"/>
        <w:jc w:val="left"/>
      </w:pPr>
      <w:r>
        <w:rPr>
          <w:b/>
          <w:bCs/>
        </w:rPr>
        <w:t>Assistance à la conduite</w:t>
      </w:r>
    </w:p>
    <w:p>
      <w:r>
        <w:rPr>
          <w:rStyle w:val="entry-titlerich-snippet-hidden"/>
        </w:rPr>
        <w:t>RCP</w:t>
      </w:r>
      <w:hyperlink r:id="rId7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2021-01-28T15:21:14+01:00</w:t>
      </w:r>
    </w:p>
    <w:p>
      <w:r>
        <w:rPr>
          <w:strike w:val="0"/>
          <w:u w:val="none"/>
        </w:rPr>
        <w:drawing>
          <wp:inline>
            <wp:extent cx="20116800" cy="12003024"/>
            <wp:docPr id="100037" name="" descr="Innovations RCP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51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52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52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RCP</w:t>
        </w:r>
      </w:hyperlink>
    </w:p>
    <w:p>
      <w:hyperlink r:id="rId53" w:history="1">
        <w:r>
          <w:rPr>
            <w:color w:val="0000EE"/>
            <w:u w:val="single" w:color="0000EE"/>
          </w:rPr>
          <w:t>Innovations base</w:t>
        </w:r>
      </w:hyperlink>
      <w:r>
        <w:t xml:space="preserve">, </w:t>
      </w:r>
      <w:hyperlink r:id="rId54" w:history="1">
        <w:r>
          <w:rPr>
            <w:color w:val="0000EE"/>
            <w:u w:val="single" w:color="0000EE"/>
          </w:rPr>
          <w:t>Innovations Base</w:t>
        </w:r>
      </w:hyperlink>
      <w:r>
        <w:t xml:space="preserve">, </w:t>
      </w:r>
      <w:hyperlink r:id="rId55" w:history="1">
        <w:r>
          <w:rPr>
            <w:color w:val="0000EE"/>
            <w:u w:val="single" w:color="0000EE"/>
          </w:rPr>
          <w:t>Innovations RCP</w:t>
        </w:r>
      </w:hyperlink>
    </w:p>
    <w:p>
      <w:r>
        <w:rPr>
          <w:rStyle w:val="entry-titlerich-snippet-hidden"/>
        </w:rPr>
        <w:t>Télématique</w:t>
      </w:r>
      <w:hyperlink r:id="rId7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2021-01-15T11:28:50+01:00</w:t>
      </w:r>
    </w:p>
    <w:p>
      <w:r>
        <w:rPr>
          <w:strike w:val="0"/>
          <w:u w:val="none"/>
        </w:rPr>
        <w:drawing>
          <wp:inline>
            <wp:extent cx="20116800" cy="12003024"/>
            <wp:docPr id="100039" name="" descr="Innovations telematique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57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58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58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Télématique</w:t>
        </w:r>
      </w:hyperlink>
    </w:p>
    <w:p>
      <w:hyperlink r:id="rId53" w:history="1">
        <w:r>
          <w:rPr>
            <w:color w:val="0000EE"/>
            <w:u w:val="single" w:color="0000EE"/>
          </w:rPr>
          <w:t>Innovations base</w:t>
        </w:r>
      </w:hyperlink>
      <w:r>
        <w:t xml:space="preserve">, </w:t>
      </w:r>
      <w:hyperlink r:id="rId54" w:history="1">
        <w:r>
          <w:rPr>
            <w:color w:val="0000EE"/>
            <w:u w:val="single" w:color="0000EE"/>
          </w:rPr>
          <w:t>Innovations Base</w:t>
        </w:r>
      </w:hyperlink>
      <w:r>
        <w:t xml:space="preserve">, </w:t>
      </w:r>
      <w:hyperlink r:id="rId59" w:history="1">
        <w:r>
          <w:rPr>
            <w:color w:val="0000EE"/>
            <w:u w:val="single" w:color="0000EE"/>
          </w:rPr>
          <w:t>Innovations Télématique</w:t>
        </w:r>
      </w:hyperlink>
    </w:p>
    <w:p>
      <w:r>
        <w:rPr>
          <w:rStyle w:val="entry-titlerich-snippet-hidden"/>
        </w:rPr>
        <w:t>SafeParking</w:t>
      </w:r>
      <w:hyperlink r:id="rId7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2021-01-28T15:31:33+01:00</w:t>
      </w:r>
    </w:p>
    <w:p>
      <w:r>
        <w:rPr>
          <w:strike w:val="0"/>
          <w:u w:val="none"/>
        </w:rPr>
        <w:drawing>
          <wp:inline>
            <wp:extent cx="20116800" cy="12003024"/>
            <wp:docPr id="100041" name="" descr="Innovations safeparking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61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62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62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SafeParking</w:t>
        </w:r>
      </w:hyperlink>
    </w:p>
    <w:p>
      <w:hyperlink r:id="rId54" w:history="1">
        <w:r>
          <w:rPr>
            <w:color w:val="0000EE"/>
            <w:u w:val="single" w:color="0000EE"/>
          </w:rPr>
          <w:t>Innovations Base</w:t>
        </w:r>
      </w:hyperlink>
      <w:r>
        <w:t xml:space="preserve">, </w:t>
      </w:r>
      <w:hyperlink r:id="rId53" w:history="1">
        <w:r>
          <w:rPr>
            <w:color w:val="0000EE"/>
            <w:u w:val="single" w:color="0000EE"/>
          </w:rPr>
          <w:t>Innovations base</w:t>
        </w:r>
      </w:hyperlink>
      <w:r>
        <w:t xml:space="preserve">, </w:t>
      </w:r>
      <w:hyperlink r:id="rId63" w:history="1">
        <w:r>
          <w:rPr>
            <w:color w:val="0000EE"/>
            <w:u w:val="single" w:color="0000EE"/>
          </w:rPr>
          <w:t>Innovations SafeParking</w:t>
        </w:r>
      </w:hyperlink>
    </w:p>
    <w:p>
      <w:r>
        <w:rPr>
          <w:rStyle w:val="entry-titlerich-snippet-hidden"/>
        </w:rPr>
        <w:t>APCS</w:t>
      </w:r>
      <w:hyperlink r:id="rId7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2021-01-28T16:26:18+01:00</w:t>
      </w:r>
    </w:p>
    <w:p>
      <w:r>
        <w:rPr>
          <w:strike w:val="0"/>
          <w:u w:val="none"/>
        </w:rPr>
        <w:drawing>
          <wp:inline>
            <wp:extent cx="20116800" cy="12003024"/>
            <wp:docPr id="100043" name="" descr="Innovations APCS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65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66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66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APCS</w:t>
        </w:r>
      </w:hyperlink>
    </w:p>
    <w:p>
      <w:hyperlink r:id="rId67" w:history="1">
        <w:r>
          <w:rPr>
            <w:color w:val="0000EE"/>
            <w:u w:val="single" w:color="0000EE"/>
          </w:rPr>
          <w:t>Innovations APCS</w:t>
        </w:r>
      </w:hyperlink>
      <w:r>
        <w:t xml:space="preserve">, </w:t>
      </w:r>
      <w:hyperlink r:id="rId53" w:history="1">
        <w:r>
          <w:rPr>
            <w:color w:val="0000EE"/>
            <w:u w:val="single" w:color="0000EE"/>
          </w:rPr>
          <w:t>Innovations base</w:t>
        </w:r>
      </w:hyperlink>
      <w:r>
        <w:t xml:space="preserve">, </w:t>
      </w:r>
      <w:hyperlink r:id="rId54" w:history="1">
        <w:r>
          <w:rPr>
            <w:color w:val="0000EE"/>
            <w:u w:val="single" w:color="0000EE"/>
          </w:rPr>
          <w:t>Innovations Base</w:t>
        </w:r>
      </w:hyperlink>
    </w:p>
    <w:p>
      <w:r>
        <w:rPr>
          <w:rStyle w:val="entry-titlerich-snippet-hidden"/>
        </w:rPr>
        <w:t>EBS</w:t>
      </w:r>
      <w:hyperlink r:id="rId7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2017-03-10T15:43:11+01:00</w:t>
      </w:r>
    </w:p>
    <w:p>
      <w:r>
        <w:rPr>
          <w:strike w:val="0"/>
          <w:u w:val="none"/>
        </w:rPr>
        <w:drawing>
          <wp:inline>
            <wp:extent cx="20116800" cy="12003024"/>
            <wp:docPr id="100045" name="" descr="Innovations ebs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69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70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70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EBS</w:t>
        </w:r>
      </w:hyperlink>
    </w:p>
    <w:p>
      <w:hyperlink r:id="rId53" w:history="1">
        <w:r>
          <w:rPr>
            <w:color w:val="0000EE"/>
            <w:u w:val="single" w:color="0000EE"/>
          </w:rPr>
          <w:t>Innovations base</w:t>
        </w:r>
      </w:hyperlink>
    </w:p>
    <w:p>
      <w:r>
        <w:rPr>
          <w:rStyle w:val="entry-titlerich-snippet-hidden"/>
        </w:rPr>
        <w:t>TPMS</w:t>
      </w:r>
      <w:hyperlink r:id="rId7" w:tooltip="Articles par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2021-01-29T08:34:37+01:00</w:t>
      </w:r>
    </w:p>
    <w:p>
      <w:r>
        <w:rPr>
          <w:strike w:val="0"/>
          <w:u w:val="none"/>
        </w:rPr>
        <w:drawing>
          <wp:inline>
            <wp:extent cx="20116800" cy="12003024"/>
            <wp:docPr id="100047" name="" descr="Innovations TPMS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72" w:history="1">
        <w:r>
          <w:rPr>
            <w:color w:val="0000EE"/>
            <w:u w:val="single" w:color="0000EE"/>
          </w:rPr>
          <w:t xml:space="preserve">Galerie </w:t>
        </w:r>
      </w:hyperlink>
    </w:p>
    <w:p>
      <w:hyperlink r:id="rId73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73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TPMS</w:t>
        </w:r>
      </w:hyperlink>
    </w:p>
    <w:p>
      <w:hyperlink r:id="rId74" w:history="1">
        <w:r>
          <w:rPr>
            <w:color w:val="0000EE"/>
            <w:u w:val="single" w:color="0000EE"/>
          </w:rPr>
          <w:t>Innovations - TPMS</w:t>
        </w:r>
      </w:hyperlink>
      <w:r>
        <w:t xml:space="preserve">, </w:t>
      </w:r>
      <w:hyperlink r:id="rId53" w:history="1">
        <w:r>
          <w:rPr>
            <w:color w:val="0000EE"/>
            <w:u w:val="single" w:color="0000EE"/>
          </w:rPr>
          <w:t>Innovations base</w:t>
        </w:r>
      </w:hyperlink>
      <w:r>
        <w:t xml:space="preserve">, </w:t>
      </w:r>
      <w:hyperlink r:id="rId54" w:history="1">
        <w:r>
          <w:rPr>
            <w:color w:val="0000EE"/>
            <w:u w:val="single" w:color="0000EE"/>
          </w:rPr>
          <w:t>Innovations Base</w:t>
        </w:r>
      </w:hyperlink>
    </w:p>
    <w:p>
      <w:hyperlink r:id="rId24" w:tgtFrame="_self" w:tooltip="Documentation" w:history="1">
        <w:r>
          <w:rPr>
            <w:rStyle w:val="fusion-button-text"/>
            <w:color w:val="0000EE"/>
            <w:u w:val="single" w:color="0000EE"/>
          </w:rPr>
          <w:t>Documentation</w:t>
        </w:r>
      </w:hyperlink>
    </w:p>
    <w:p>
      <w:hyperlink r:id="rId75" w:anchor="innovations" w:tgtFrame="_blank" w:tooltip="Vidéos-démos" w:history="1">
        <w:r>
          <w:rPr>
            <w:rStyle w:val="fusion-button-text"/>
            <w:color w:val="0000EE"/>
            <w:u w:val="single" w:color="0000EE"/>
          </w:rPr>
          <w:t>Vidéos-démos</w:t>
        </w:r>
      </w:hyperlink>
    </w:p>
    <w:p>
      <w:pPr>
        <w:pStyle w:val="Heading3"/>
        <w:keepNext w:val="0"/>
        <w:keepLines w:val="0"/>
        <w:spacing w:before="281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Metadata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691"/>
        <w:gridCol w:w="5669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pyre_portfolio_width_100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pyre_portfolio_content_length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pyre_portfolio_excerpt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pyre_portfolio_filters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yes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pyre_portfolio_text_layout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pyre_portfolio_featured_image_size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pyre_portfolio_column_spacing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fusion_builder_status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active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fusion_builder_content_backup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[fullwidth background_color="" background_image="" background_parallax="none" enable_mobile="no" parallax_speed="0.3" background_repeat="no-repeat" background_position="left top" video_url="" video_aspect_ratio="16:9" video_webm="" video_mp4="" video_ogv="" video_preview_image="" overlay_color="" overlay_opacity="0.5" video_mute="yes" video_loop="yes" fade="no" border_size="0px" border_color="" border_style="solid" padding_top="20px" padding_bottom="20px" padding_left="7%" padding_right="" hundred_percent="yes" equal_height_columns="no" hide_on_mobile="no" menu_anchor="" class="" id=""][fusion_text] &lt;h1&gt;LES BENNES GRAND VOLUME&lt;/h1&gt; [/fusion_text][rev_slider alias="diapo-bennes-tp"][/fullwidth][fullwidth background_color="" background_image="" background_parallax="none" enable_mobile="no" parallax_speed="0.3" background_repeat="no-repeat" background_position="left top" video_url="" video_aspect_ratio="16:9" video_webm="" video_mp4="" video_ogv="" video_preview_image="" overlay_color="" overlay_opacity="0.5" video_mute="yes" video_loop="yes" fade="no" border_size="0px" border_color="" border_style="solid" padding_top="20px" padding_bottom="20px" padding_left="7%" padding_right="" hundred_percent="yes" equal_height_columns="no" hide_on_mobile="no" menu_anchor="" class="" id=""][title size="1" content_align="left" style_type="none" sep_color="" margin_top="" margin_bottom="" class="" id=""]LA GAMME[/title][separator style_type="shadow" top_margin="" bottom_margin="" sep_color="#262626" border_size="" icon="" icon_circle="" icon_circle_color="" width="" alignment="center" class="" id=""][/fullwidth][fullwidth background_color="" background_image="" background_parallax="none" enable_mobile="no" parallax_speed="0.3" background_repeat="no-repeat" background_position="left top" video_url="" video_aspect_ratio="16:9" video_webm="" video_mp4="" video_ogv="" video_preview_image="" overlay_color="" overlay_opacity="0.5" video_mute="yes" video_loop="yes" fade="no" border_size="0px" border_color="" border_style="solid" padding_top="20" padding_bottom="20" padding_left="" padding_right="" hundred_percent="no" equal_height_columns="yes" hide_on_mobile="no" menu_anchor="" class="" id=""][one_full last="yes" spacing="yes" center_content="yes" hide_on_mobile="no" background_color="" background_image="" background_repeat="no-repeat" background_position="left top" hover_type="none" link="" border_position="all" border_size="0px" border_color="" border_style="solid" padding="" margin_top="" margin_bottom="" animation_type="0" animation_direction="down" animation_speed="0.1" animation_offset="" class="" id=""][fusion_text]Développées en étroite collaboration avec des clients utilisateurs, experts dans leurs domaines respectifs, les Bennes GRAND VOLUME &lt;em&gt;FRUEHAUF&lt;/em&gt; répondent parfaitement à chacun des besoins : des transports de produits agroalimentaire, de recyclage, de céréales jusqu’au produits de travaux publics légers et ferrailles légères. Réalisées en &lt;strong&gt;ALUMINIUM SPÉCIAL « &lt;em&gt;ENDUR-AL&lt;/em&gt;&lt;sup&gt;©&lt;/sup&gt; »&lt;/strong&gt; ou en &lt;strong&gt;ACIER &lt;/strong&gt;&lt;b&gt;SPÉCIAL&lt;/b&gt; de type &lt;strong&gt;&lt;em&gt;HARDOX®&lt;/em&gt;&lt;/strong&gt;, les bennes &lt;em&gt;FRUEHAUF&lt;/em&gt; offrent le meilleur rapport qualité / prix, réduisant au maximum leur coût de détention.[/fusion_text][/one_full][one_fourth last="no" spacing="yes" center_content="yes" hide_on_mobile="no" background_color="" background_image="" background_repeat="no-repeat" background_position="left top" hover_type="none" link="" border_position="all" border_size="0px" border_color="" border_style="solid" padding="" margin_top="" margin_bottom="" animation_type="0" animation_direction="down" animation_speed="0.1" animation_offset="" class="" id=""][button link="#polyvalence" color="custom" size="" stretch="" type="" shape="" target="_self" title="produits courant du bâtiment" gradient_colors="#dd1616|#dd3333" gradient_hover_colors="|" accent_color="" accent_hover_color="" bevel_color="" border_width="" icon="" icon_position="right" icon_divider="no" modal="" animation_type="0" animation_direction="left" animation_speed="1" animation_offset="" alignment="" class="" id=""]Produits agroalimentaires[/button][/one_fourth][one_fourth last="no" spacing="yes" center_content="yes" hide_on_mobile="no" background_color="" background_image="" background_repeat="no-repeat" background_position="left top" hover_type="none" link="" border_position="all" border_size="0px" border_color="" border_style="solid" padding="" margin_top="" margin_bottom="" animation_type="0" animation_direction="down" animation_speed="0.1" animation_offset="" class="" id=""][button link="#appro" color="custom" size="" stretch="" type="" shape="" target="_self" title="Approvisionnement Matériaux abrasif" gradient_colors="#dd1616|#dd3333" gradient_hover_colors="|" accent_color="" accent_hover_color="" bevel_color="" border_width="" icon="" icon_position="left" icon_divider="no" modal="" animation_type="0" animation_direction="left" animation_speed="1" animation_offset="" alignment="" class="" id=""]Céréales Betteraves[/button][/one_fourth][one_fourth last="no" spacing="yes" center_content="yes" hide_on_mobile="no" background_color="" background_image="" background_repeat="no-repeat" background_position="left top" hover_type="none" link="" border_position="all" border_size="0px" border_color="" border_style="solid" padding="" margin_top="" margin_bottom="" animation_type="0" animation_direction="down" animation_speed="0.1" animation_offset="" class="" id=""][button link="#appro" color="custom" size="" stretch="" type="" shape="" target="_self" title="Approvisionnement Matériaux abrasif" gradient_colors="#dd1616|#dd3333" gradient_hover_colors="|" accent_color="" accent_hover_color="" bevel_color="" border_width="" icon="" icon_position="left" icon_divider="no" modal="" animation_type="0" animation_direction="left" animation_speed="1" animation_offset="" alignment="" class="" id=""]Vrac faible densité Recyclage[/button][/one_fourth][one_fourth last="yes" spacing="yes" center_content="yes" hide_on_mobile="no" background_color="" background_image="" background_repeat="no-repeat" background_position="left top" hover_type="none" link="" border_position="all" border_size="0px" border_color="" border_style="solid" padding="" margin_top="" margin_bottom="" animation_type="0" animation_direction="down" animation_speed="0.1" animation_offset="" class="" id=""][button link="#appro" color="custom" size="" stretch="" type="" shape="" target="_self" title="Approvisionnement Matériaux abrasif" gradient_colors="#dd1616|#dd3333" gradient_hover_colors="|" accent_color="" accent_hover_color="" bevel_color="" border_width="" icon="" icon_position="left" icon_divider="no" modal="" animation_type="0" animation_direction="left" animation_speed="1" animation_offset="" alignment="" class="" id=""]Travaux Publics légers - Ferraille[/button][/one_fourth][fusion_text] [gallery columns="5" size="large" link="none" ids="96,97,99,98,95"] [/fusion_text][/fullwidth][menu_anchor name="enrobes"][separator style_type="shadow" top_margin="5%" bottom_margin="" sep_color="" border_size="" icon="" icon_circle="" icon_circle_color="" width="" alignment="center" class="" id=""][fullwidth background_color="#f7f7f7" background_image="" background_parallax="none" enable_mobile="no" parallax_speed="0.3" background_repeat="no-repeat" background_position="left top" video_url="" video_aspect_ratio="16:9" video_webm="" video_mp4="" video_ogv="" video_preview_image="" overlay_color="" overlay_opacity="0.5" video_mute="yes" video_loop="yes" fade="no" border_size="0px" border_color="" border_style="solid" padding_top="0" padding_bottom="5px" padding_left="7%" padding_right="" hundred_percent="yes" equal_height_columns="no" hide_on_mobile="no" menu_anchor="" class="" id=""][title size="1" content_align="left" style_type="none" sep_color="#e52322" margin_top="" margin_bottom="" class="" id=""]&lt;span style="color: #717a82;"&gt;Produits Agroalimentaires – Céréales - Vrac faible densité&lt;/span&gt;[/title][separator style_type="shadow" top_margin="" bottom_margin="" sep_color="" border_size="" icon="" icon_circle="" icon_circle_color="" width="" alignment="center" class="" id=""][/fullwidth][fullwidth background_color="" background_image="" background_parallax="none" enable_mobile="no" parallax_speed="0.3" background_repeat="no-repeat" background_position="left top" video_url="" video_aspect_ratio="16:9" video_webm="" video_mp4="" video_ogv="" video_preview_image="" overlay_color="" overlay_opacity="0.5" video_mute="yes" video_loop="yes" fade="no" border_size="0px" border_color="" border_style="solid" padding_top="20" padding_bottom="" padding_left="" padding_right="" hundred_percent="no" equal_height_columns="no" hide_on_mobile="no" menu_anchor="" class="" id=""][fusion_text]Conçu spécialement pour une charge utile maximum, les Bennes Grand Volume &lt;strong&gt;ALUMINIUM&lt;/strong&gt; &lt;em&gt;FRUEHAUF&lt;/em&gt; &lt;strong&gt;&lt;em&gt;Agro&lt;/em&gt;&lt;/strong&gt;&lt;strong&gt;&lt;em&gt;Max®&lt;/em&gt;&lt;/strong&gt; répondent parfaitement, avec le meilleur rapport qualité/prix, aux besoins des transports de produits agroalimentaires, chimiques , recyclables ou vrac faible densité.[/fusion_text][/fullwidth][fullwidth background_color="" background_image="" background_parallax="none" enable_mobile="no" parallax_speed="0.3" background_repeat="no-repeat" background_position="left top" video_url="" video_aspect_ratio="16:9" video_webm="" video_mp4="" video_ogv="" video_preview_image="" overlay_color="" overlay_opacity="0.5" video_mute="yes" video_loop="yes" fade="no" border_size="0px" border_color="" border_style="solid" padding_top="" padding_bottom="" padding_left="" padding_right="" hundred_percent="no" equal_height_columns="no" hide_on_mobile="no" menu_anchor="" class="" id=""][separator style_type="single" top_margin="50px" bottom_margin="20px" sep_color="#c9c9c9" border_size="1" icon="" icon_circle="" icon_circle_color="" width="" alignment="center" class="" id=""][fusion_text]&lt;img class="size-full wp-image-309 alignleft" src="https://www.fruehauf.com/wordpress/wp-content/uploads/2016/10/agromax.png" alt="AgroMax Fruehauf" width="208" height="42" /&gt;[/fusion_text][separator style_type="single" top_margin="20" bottom_margin="20" sep_color="#c9c9c9" border_size="1" icon="" icon_circle="" icon_circle_color="" width="" alignment="center" class="" id=""][one_half last="no" spacing="yes" center_content="no" hide_on_mobile="no" background_color="" background_image="" background_repeat="no-repeat" background_position="left top" hover_type="none" link="" border_position="all" border_size="0px" border_color="" border_style="" padding="" margin_top="" margin_bottom="" animation_type="" animation_direction="" animation_speed="0.1" animation_offset="" class="" id=""][fusion_text] &lt;h2&gt;&lt;span style="color: #009eef;"&gt;La Variabilité&lt;/span&gt;&lt;/h2&gt; &lt;h2&gt;&lt;span style="color: #009eef;"&gt;De 37 à 64 m3&lt;/span&gt;&lt;/h2&gt; Sa construction modulaire à faces lisses permet une grande variabilité de volumes avec des longueurs et hauteurs adaptées à tous les besoins. Son fond en ALUMINIUM SPÉCIAL « ENDUR-AL » et ses cotés obliques soudés en continu offrent une résistance à l’abrasion et une robustesse inégalée.[/fusion_text][checklist icon="fa-sticky-note" iconcolor="#e52322" circle="no" circlecolor="" size="18px" class="" id=""][li_item icon="fa-check-square"]&lt;strong&gt;Résistance à l’abrasion inégalée&lt;/strong&gt;[/li_item][li_item icon="fa-check-square"]&lt;strong&gt;Longévité d’utilisation&lt;/strong&gt;[/li_item][li_item icon="fa-check-square"]&lt;strong&gt;Robustesse et légèreté&lt;/strong&gt;[/li_item][/checklist][/one_half][one_half last="yes" spacing="yes" center_content="no" hide_on_mobile="no" background_color="" background_image="" background_repeat="no-repeat" background_position="left top" hover_type="none" link="" border_position="all" border_size="0px" border_color="" border_style="solid" padding="" margin_top="" margin_bottom="40px" animation_type="0" animation_direction="down" animation_speed="0.1" animation_offset="" class="" id=""][rev_slider alias="optimum"][separator style_type="none" top_margin="20px" bottom_margin="" sep_color="" border_size="" icon="" icon_circle="" icon_circle_color="" width="" alignment="center" class="" id=""][accordian divider_line="yes" class="" id=""][toggle title="Documentations" open="no"][/toggle][toggle title="Vidéos" open="no"][youtube id="https://youtu.be/dI4cQjCnB1M" width="600" height="350" autoplay="no" api_params="" class=""][/toggle][/accordian][/one_half][/fullwidth][separator style_type="shadow" top_margin="5%" bottom_margin="" sep_color="" border_size="" icon="" icon_circle="" icon_circle_color="" width="" alignment="center" class="" id=""][fullwidth background_color="#f7f7f7" background_image="" background_parallax="none" enable_mobile="no" parallax_speed="0.3" background_repeat="no-repeat" background_position="left top" video_url="" video_aspect_ratio="16:9" video_webm="" video_mp4="" video_ogv="" video_preview_image="" overlay_color="" overlay_opacity="0.5" video_mute="yes" video_loop="yes" fade="no" border_size="0px" border_color="" border_style="solid" padding_top="" padding_bottom="5px" padding_left="7%" padding_right="" hundred_percent="yes" equal_height_columns="no" hide_on_mobile="no" menu_anchor="" class="" id=""][title size="1" content_align="left" style_type="none" sep_color="#e52322" margin_top="" margin_bottom="" class="" id=""]&lt;span style="color: #717a82;"&gt;Produits de recyclage - Ferrailles&lt;/span&gt;[/title][separator style_type="shadow" top_margin="" bottom_margin="" sep_color="" border_size="" icon="" icon_circle="" icon_circle_color="" width="" alignment="center" class="" id=""][/fullwidth][fullwidth background_color="" background_image="" background_parallax="none" enable_mobile="no" parallax_speed="0.3" background_repeat="no-repeat" background_position="left top" video_url="" video_aspect_ratio="16:9" video_webm="" video_mp4="" video_ogv="" video_preview_image="" overlay_color="" overlay_opacity="0.5" video_mute="yes" video_loop="yes" fade="no" border_size="0px" border_color="" border_style="solid" padding_top="20" padding_bottom="" padding_left="" padding_right="" hundred_percent="no" equal_height_columns="no" hide_on_mobile="no" menu_anchor="" class="" id=""][fusion_text]Conçu spécialement pour une charge utile maximum, les Bennes Travaux Publics ALUMINIUM FRUEHAUF &lt;strong&gt;&lt;em&gt;OptiMum&lt;/em&gt;&lt;/strong&gt; et &lt;strong&gt;&lt;em&gt;OptiMax&lt;/em&gt;&lt;/strong&gt; répondent parfaitement, avec le meilleur rapport qualité/prix, aux besoins d’approvisionnement de chantiers.[/fusion_text][/fullwidth][fullwidth background_color="" background_image="" background_parallax="none" enable_mobile="no" parallax_speed="0.3" background_repeat="no-repeat" background_position="left top" video_url="" video_aspect_ratio="16:9" video_webm="" video_mp4="" video_ogv="" video_preview_image="" overlay_color="" overlay_opacity="0.5" video_mute="yes" video_loop="yes" fade="no" border_size="0px" border_color="" border_style="solid" padding_top="" padding_bottom="" padding_left="" padding_right="" hundred_percent="no" equal_height_columns="no" hide_on_mobile="no" menu_anchor="" class="" id=""][separator style_type="single" top_margin="50px" bottom_margin="20px" sep_color="#c9c9c9" border_size="1" icon="" icon_circle="" icon_circle_color="" width="" alignment="center" class="" id=""][fusion_text]&lt;img class="size-full wp-image-308 alignleft" src="https://www.fruehauf.com/wordpress/wp-content/uploads/2016/10/scrap.png" alt="Scrap Fruehauf" width="122" height="42" /&gt;[/fusion_text][separator style_type="single" top_margin="20" bottom_margin="20" sep_color="#c9c9c9" border_size="1" icon="" icon_circle="" icon_circle_color="" width="" alignment="center" class="" id=""][one_half last="no" spacing="yes" center_content="no" hide_on_mobile="no" background_color="" background_image="" background_repeat="no-repeat" background_position="left top" hover_type="none" link="" border_position="all" border_size="0px" border_color="" border_style="" padding="" margin_top="" margin_bottom="" animation_type="" animation_direction="" animation_speed="0.1" animation_offset="" class="" id=""][fusion_text] &lt;h2&gt;&lt;span style="color: #009eef;"&gt;La Résistance à l'abrasion&lt;/span&gt;&lt;/h2&gt; &lt;h2&gt;&lt;span style="color: #009eef;"&gt;De 51 à 55 m3&lt;/span&gt;&lt;/h2&gt; Entièrement réalisée en ALUMINIUM SPÉCIAL « ENDUR-AL » son fond et ses côtés offrent une résistance à l’abrasion inégalée réduisant au maximum son coût de détention. Sa forme tronconique permet le meilleur compromis entre facilité d’écoulement et volume maximum. Sa forme tronconique permet le meilleur compromis.[/fusion_text][checklist icon="fa-sticky-note" iconcolor="#e52322" circle="no" circlecolor="" size="18px" class="" id=""][li_item icon="fa-check-square"]&lt;strong&gt;Résistance à l’abrasion inégalée&lt;/strong&gt;[/li_item][li_item icon="fa-check-square"]&lt;strong&gt;Longévité d’utilisation&lt;/strong&gt;[/li_item][li_item icon="fa-check-square"]&lt;strong&gt;Robustesse et légèreté&lt;/strong&gt;[/li_item][/checklist][/one_half][one_half last="yes" spacing="yes" center_content="no" hide_on_mobile="no" background_color="" background_image="" background_repeat="no-repeat" background_position="left top" hover_type="none" link="" border_position="all" border_size="0px" border_color="" border_style="solid" padding="" margin_top="" margin_bottom="40px" animation_type="0" animation_direction="down" animation_speed="0.1" animation_offset="" class="" id=""][rev_slider alias="optimum"][separator style_type="none" top_margin="20px" bottom_margin="" sep_color="" border_size="" icon="" icon_circle="" icon_circle_color="" width="" alignment="center" class="" id=""][accordian divider_line="yes" class="" id=""][toggle title="Documentations" open="no"][/toggle][toggle title="Vidéos" open="no"][youtube id="https://youtu.be/dI4cQjCnB1M" width="600" height="350" autoplay="no" api_params="" class=""][/toggle][/accordian][/one_half][/fullwidth]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fusion_builder_converted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yes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pyre_slider_type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0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pyre_wooslider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final_fixed_width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pyre_revslider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0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pyre_elasticslider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0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pyre_slider_position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pyre_avada_rev_styles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pyre_fallback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pyre_demo_slider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pyre_main_top_padding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pyre_main_bottom_padding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pyre_hundredp_padding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pyre_show_first_featured_image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pyre_display_header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yes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pyre_header_100_width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pyre_header_bg_opacity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pyre_header_bg_repeat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repeat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pyre_displayed_menu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pyre_display_footer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pyre_display_copyright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pyre_footer_100_width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pyre_sidebar_position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pyre_sidebar_bg_color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pyre_page_bg_layout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pyre_page_bg_repeat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repeat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pyre_wide_page_bg_repeat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repeat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pyre_page_title_breadcrumbs_search_bar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pyre_page_title_text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pyre_page_title_text_alignment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pyre_page_title_custom_text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pyre_page_title_text_size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pyre_page_title_custom_subheader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pyre_page_title_custom_subheader_text_size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pyre_page_title_font_color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pyre_page_title_100_width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pyre_page_title_height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pyre_page_title_mobile_height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pyre_page_title_bar_borders_color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pyre_page_title_bar_bg_retina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pyre_page_title_bg_parallax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pyre_sidebar_sticky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pyre_page_title_line_height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kd_featured-image-2_page_id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kd_featured-image-3_page_id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kd_featured-image-4_page_id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kd_featured-image-5_page_id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pyre_fallback_id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pyre_combined_header_bg_color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pyre_mobile_header_bg_color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pyre_responsive_sidebar_order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pyre_page_title_subheader_font_color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pyre_page_title_bar_bg_retina_id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sbg_selected_sidebar_replacement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sbg_selected_sidebar_2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sbg_selected_sidebar_2_replacement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avada_post_views_count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939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avada_today_post_views_count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5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avada_post_views_count_today_date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12-12-2023</w:t>
            </w:r>
          </w:p>
        </w:tc>
      </w:tr>
    </w:tbl>
    <w:p>
      <w:pPr>
        <w:rPr>
          <w:rFonts w:ascii="Times New Roman" w:eastAsia="Times New Roman" w:hAnsi="Times New Roman" w:cs="Times New Roman"/>
          <w:i w:val="0"/>
          <w:color w:val="auto"/>
        </w:rPr>
      </w:pPr>
    </w:p>
    <w:sectPr>
      <w:pgMar w:header="720" w:foo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b/>
      <w:bCs/>
      <w:i w:val="0"/>
      <w:color w:val="2F5496" w:themeShade="BF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 w:after="0"/>
      <w:outlineLvl w:val="1"/>
    </w:pPr>
    <w:rPr>
      <w:rFonts w:ascii="Times New Roman" w:eastAsia="Times New Roman" w:hAnsi="Times New Roman" w:cs="Times New Roman"/>
      <w:b/>
      <w:bCs/>
      <w:i w:val="0"/>
      <w:color w:val="2F5496" w:themeShade="BF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i w:val="0"/>
      <w:color w:val="1F3763" w:themeShade="7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 w:after="0"/>
      <w:outlineLvl w:val="3"/>
    </w:pPr>
    <w:rPr>
      <w:rFonts w:ascii="Times New Roman" w:eastAsia="Times New Roman" w:hAnsi="Times New Roman" w:cs="Times New Roman"/>
      <w:b/>
      <w:bCs/>
      <w:i w:val="0"/>
      <w:iCs/>
      <w:color w:val="2F5496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 w:after="0"/>
      <w:outlineLvl w:val="4"/>
    </w:pPr>
    <w:rPr>
      <w:rFonts w:ascii="Times New Roman" w:eastAsia="Times New Roman" w:hAnsi="Times New Roman" w:cs="Times New Roman"/>
      <w:b/>
      <w:bCs/>
      <w:i w:val="0"/>
      <w:color w:val="2F5496" w:themeShade="B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 w:after="0"/>
      <w:outlineLvl w:val="5"/>
    </w:pPr>
    <w:rPr>
      <w:rFonts w:ascii="Times New Roman" w:eastAsia="Times New Roman" w:hAnsi="Times New Roman" w:cs="Times New Roman"/>
      <w:b/>
      <w:bCs/>
      <w:i w:val="0"/>
      <w:color w:val="1F3763" w:themeShade="7F"/>
      <w:sz w:val="16"/>
      <w:szCs w:val="1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Calibri Light" w:eastAsia="Times New Roman" w:hAnsi="Calibri Light" w:cs="Times New Roman"/>
      <w:color w:val="2F549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Calibri Light" w:eastAsia="Times New Roman" w:hAnsi="Calibri Light" w:cs="Times New Roman"/>
      <w:color w:val="2F5496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Calibri Light" w:eastAsia="Times New Roman" w:hAnsi="Calibri Light" w:cs="Times New Roman"/>
      <w:color w:val="1F3763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Calibri Light" w:eastAsia="Times New Roman" w:hAnsi="Calibri Light" w:cs="Times New Roman"/>
      <w:i/>
      <w:iCs/>
      <w:color w:val="2F5496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Calibri Light" w:eastAsia="Times New Roman" w:hAnsi="Calibri Light" w:cs="Times New Roman"/>
      <w:color w:val="2F5496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Calibri Light" w:eastAsia="Times New Roman" w:hAnsi="Calibri Light" w:cs="Times New Roman"/>
      <w:color w:val="1F3763" w:themeShade="7F"/>
    </w:rPr>
  </w:style>
  <w:style w:type="paragraph" w:customStyle="1" w:styleId="rs-p-wp-fix">
    <w:name w:val="rs-p-wp-fix"/>
    <w:basedOn w:val="Normal"/>
  </w:style>
  <w:style w:type="character" w:customStyle="1" w:styleId="fusion-button-text">
    <w:name w:val="fusion-button-text"/>
    <w:basedOn w:val="DefaultParagraphFont"/>
  </w:style>
  <w:style w:type="character" w:customStyle="1" w:styleId="cap">
    <w:name w:val="cap"/>
    <w:basedOn w:val="DefaultParagraphFont"/>
  </w:style>
  <w:style w:type="paragraph" w:customStyle="1" w:styleId="gallery-3">
    <w:name w:val="gallery-3"/>
    <w:basedOn w:val="Normal"/>
  </w:style>
  <w:style w:type="character" w:customStyle="1" w:styleId="icon-wrappercircle-no">
    <w:name w:val="icon-wrapper circle-no"/>
    <w:basedOn w:val="DefaultParagraphFont"/>
  </w:style>
  <w:style w:type="character" w:customStyle="1" w:styleId="entry-titlerich-snippet-hidden">
    <w:name w:val="entry-title rich-snippet-hidden"/>
    <w:basedOn w:val="DefaultParagraphFont"/>
  </w:style>
  <w:style w:type="character" w:customStyle="1" w:styleId="vcardrich-snippet-hidden">
    <w:name w:val="vcard rich-snippet-hidden"/>
    <w:basedOn w:val="DefaultParagraphFont"/>
  </w:style>
  <w:style w:type="character" w:customStyle="1" w:styleId="fn">
    <w:name w:val="fn"/>
    <w:basedOn w:val="DefaultParagraphFont"/>
  </w:style>
  <w:style w:type="character" w:customStyle="1" w:styleId="updatedrich-snippet-hidden">
    <w:name w:val="updated rich-snippet-hidden"/>
    <w:basedOn w:val="DefaultParagraphFont"/>
  </w:style>
  <w:style w:type="paragraph" w:customStyle="1" w:styleId="gallery-4">
    <w:name w:val="gallery-4"/>
    <w:basedOn w:val="Normal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www.fruehauf.com/portfolio-items/agromax/" TargetMode="External" /><Relationship Id="rId11" Type="http://schemas.openxmlformats.org/officeDocument/2006/relationships/hyperlink" Target="https://www.fruehauf.com/portfolio_category/bennes-gv-agromax/" TargetMode="External" /><Relationship Id="rId12" Type="http://schemas.openxmlformats.org/officeDocument/2006/relationships/image" Target="media/image5.jpeg" /><Relationship Id="rId13" Type="http://schemas.openxmlformats.org/officeDocument/2006/relationships/hyperlink" Target="https://www.fruehauf.com/wp-content/uploads/2016/11/2-Bennes-GV-AgroMax-porte-oscillante-Fruehauf.jpg" TargetMode="External" /><Relationship Id="rId14" Type="http://schemas.openxmlformats.org/officeDocument/2006/relationships/hyperlink" Target="https://www.fruehauf.com/portfolio-items/porta-arriere-oscillante/" TargetMode="External" /><Relationship Id="rId15" Type="http://schemas.openxmlformats.org/officeDocument/2006/relationships/image" Target="media/image6.jpeg" /><Relationship Id="rId16" Type="http://schemas.openxmlformats.org/officeDocument/2006/relationships/hyperlink" Target="https://www.fruehauf.com/wp-content/uploads/2016/11/3-Bennes-GV-AgroMax-pare-choc-Fruehauf.jpg" TargetMode="External" /><Relationship Id="rId17" Type="http://schemas.openxmlformats.org/officeDocument/2006/relationships/hyperlink" Target="https://www.fruehauf.com/portfolio-items/pare-chocs-aluminium-crochets-de-remorquage/" TargetMode="External" /><Relationship Id="rId18" Type="http://schemas.openxmlformats.org/officeDocument/2006/relationships/image" Target="media/image7.jpeg" /><Relationship Id="rId19" Type="http://schemas.openxmlformats.org/officeDocument/2006/relationships/hyperlink" Target="https://www.fruehauf.com/wp-content/uploads/2016/11/5-Bennes-GV-AgroMax-caisse-renforcee-Fruehauf.jpg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www.fruehauf.com/portfolio-items/caisse-modulaire-a-face-lisse/" TargetMode="External" /><Relationship Id="rId21" Type="http://schemas.openxmlformats.org/officeDocument/2006/relationships/image" Target="media/image8.jpeg" /><Relationship Id="rId22" Type="http://schemas.openxmlformats.org/officeDocument/2006/relationships/hyperlink" Target="https://www.fruehauf.com/wp-content/uploads/2016/11/4-Bennes-GV-AgroMax-caisse-renforcee-traverses-Fruehauf.jpg" TargetMode="External" /><Relationship Id="rId23" Type="http://schemas.openxmlformats.org/officeDocument/2006/relationships/hyperlink" Target="https://www.fruehauf.com/portfolio-items/caisse-renforcee-2/" TargetMode="External" /><Relationship Id="rId24" Type="http://schemas.openxmlformats.org/officeDocument/2006/relationships/hyperlink" Target="formulaire-de-demandes-de-brochures/" TargetMode="External" /><Relationship Id="rId25" Type="http://schemas.openxmlformats.org/officeDocument/2006/relationships/image" Target="media/image9.jpeg" /><Relationship Id="rId26" Type="http://schemas.openxmlformats.org/officeDocument/2006/relationships/image" Target="media/image10.jpeg" /><Relationship Id="rId27" Type="http://schemas.openxmlformats.org/officeDocument/2006/relationships/image" Target="media/image11.jpeg" /><Relationship Id="rId28" Type="http://schemas.openxmlformats.org/officeDocument/2006/relationships/image" Target="media/image12.jpeg" /><Relationship Id="rId29" Type="http://schemas.openxmlformats.org/officeDocument/2006/relationships/hyperlink" Target="https://www.fruehauf.com/wp-content/uploads/2016/11/2-Bennes-GV-SCRAP-Fruehauf.jpg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s://www.fruehauf.com/portfolio-items/scrap-3/" TargetMode="External" /><Relationship Id="rId31" Type="http://schemas.openxmlformats.org/officeDocument/2006/relationships/hyperlink" Target="https://www.fruehauf.com/portfolio_category/bennes-gv-scrap/" TargetMode="External" /><Relationship Id="rId32" Type="http://schemas.openxmlformats.org/officeDocument/2006/relationships/image" Target="media/image13.jpeg" /><Relationship Id="rId33" Type="http://schemas.openxmlformats.org/officeDocument/2006/relationships/hyperlink" Target="https://www.fruehauf.com/wp-content/uploads/2016/11/3-Bennes-GV-SCRAP-Fruehauf.jpg" TargetMode="External" /><Relationship Id="rId34" Type="http://schemas.openxmlformats.org/officeDocument/2006/relationships/hyperlink" Target="https://www.fruehauf.com/portfolio-items/scrap-2/" TargetMode="External" /><Relationship Id="rId35" Type="http://schemas.openxmlformats.org/officeDocument/2006/relationships/image" Target="media/image14.jpeg" /><Relationship Id="rId36" Type="http://schemas.openxmlformats.org/officeDocument/2006/relationships/hyperlink" Target="https://www.fruehauf.com/wp-content/uploads/2016/11/1-Bennes-GV-SCRAP-Fruehauf.jpg" TargetMode="External" /><Relationship Id="rId37" Type="http://schemas.openxmlformats.org/officeDocument/2006/relationships/hyperlink" Target="https://www.fruehauf.com/portfolio-items/scrap/" TargetMode="External" /><Relationship Id="rId38" Type="http://schemas.openxmlformats.org/officeDocument/2006/relationships/image" Target="media/image15.jpeg" /><Relationship Id="rId39" Type="http://schemas.openxmlformats.org/officeDocument/2006/relationships/hyperlink" Target="https://www.fruehauf.com/wp-content/uploads/2016/11/5-Bennes-GV-SCRAP-ouverture-laterale-Fruehauf.jpg" TargetMode="External" /><Relationship Id="rId4" Type="http://schemas.openxmlformats.org/officeDocument/2006/relationships/image" Target="media/image1.jpeg" /><Relationship Id="rId40" Type="http://schemas.openxmlformats.org/officeDocument/2006/relationships/hyperlink" Target="https://www.fruehauf.com/portfolio-items/ouverture-laterale/" TargetMode="External" /><Relationship Id="rId41" Type="http://schemas.openxmlformats.org/officeDocument/2006/relationships/image" Target="media/image16.jpeg" /><Relationship Id="rId42" Type="http://schemas.openxmlformats.org/officeDocument/2006/relationships/hyperlink" Target="https://www.fruehauf.com/wp-content/uploads/2016/11/6-Bennes-GV-SCRAP-paroi-laterale-monobloc-Fruehauf.jpg" TargetMode="External" /><Relationship Id="rId43" Type="http://schemas.openxmlformats.org/officeDocument/2006/relationships/hyperlink" Target="https://www.fruehauf.com/portfolio-items/parois-laterales-monobloc/" TargetMode="External" /><Relationship Id="rId44" Type="http://schemas.openxmlformats.org/officeDocument/2006/relationships/image" Target="media/image17.jpeg" /><Relationship Id="rId45" Type="http://schemas.openxmlformats.org/officeDocument/2006/relationships/hyperlink" Target="https://www.fruehauf.com/wp-content/uploads/2016/11/4-Bennes-GV-SCRAP-fond-renforce-traverses-Fruehauf.jpg" TargetMode="External" /><Relationship Id="rId46" Type="http://schemas.openxmlformats.org/officeDocument/2006/relationships/hyperlink" Target="https://www.fruehauf.com/portfolio-items/fond-renforce-par-traverses/" TargetMode="External" /><Relationship Id="rId47" Type="http://schemas.openxmlformats.org/officeDocument/2006/relationships/image" Target="media/image18.jpeg" /><Relationship Id="rId48" Type="http://schemas.openxmlformats.org/officeDocument/2006/relationships/hyperlink" Target="https://www.fruehauf.com/wp-content/uploads/2016/11/7-Bennes-GV-SCRAP-latte-protection-bachage-Fruehauf.jpg" TargetMode="External" /><Relationship Id="rId49" Type="http://schemas.openxmlformats.org/officeDocument/2006/relationships/hyperlink" Target="https://www.fruehauf.com/portfolio-items/latte-aluminium-de-protection-du-bachage/" TargetMode="External" /><Relationship Id="rId5" Type="http://schemas.openxmlformats.org/officeDocument/2006/relationships/image" Target="media/image2.jpeg" /><Relationship Id="rId50" Type="http://schemas.openxmlformats.org/officeDocument/2006/relationships/image" Target="media/image19.jpeg" /><Relationship Id="rId51" Type="http://schemas.openxmlformats.org/officeDocument/2006/relationships/hyperlink" Target="https://www.fruehauf.com/wp-content/uploads/2016/11/1-maxispeed-innovations-RCP-Fruehauf.jpg" TargetMode="External" /><Relationship Id="rId52" Type="http://schemas.openxmlformats.org/officeDocument/2006/relationships/hyperlink" Target="https://www.fruehauf.com/portfolio-items/rcp-6/" TargetMode="External" /><Relationship Id="rId53" Type="http://schemas.openxmlformats.org/officeDocument/2006/relationships/hyperlink" Target="https://www.fruehauf.com/portfolio_category/innovations-base/" TargetMode="External" /><Relationship Id="rId54" Type="http://schemas.openxmlformats.org/officeDocument/2006/relationships/hyperlink" Target="https://www.fruehauf.com/portfolio_category/innovations-base-2/" TargetMode="External" /><Relationship Id="rId55" Type="http://schemas.openxmlformats.org/officeDocument/2006/relationships/hyperlink" Target="https://www.fruehauf.com/portfolio_category/innovations-rcp/" TargetMode="External" /><Relationship Id="rId56" Type="http://schemas.openxmlformats.org/officeDocument/2006/relationships/image" Target="media/image20.jpeg" /><Relationship Id="rId57" Type="http://schemas.openxmlformats.org/officeDocument/2006/relationships/hyperlink" Target="https://www.fruehauf.com/wp-content/uploads/2016/11/7-maxispeed-innovations-telematique-Fruehauf.jpg" TargetMode="External" /><Relationship Id="rId58" Type="http://schemas.openxmlformats.org/officeDocument/2006/relationships/hyperlink" Target="https://www.fruehauf.com/portfolio-items/telematique-3/" TargetMode="External" /><Relationship Id="rId59" Type="http://schemas.openxmlformats.org/officeDocument/2006/relationships/hyperlink" Target="https://www.fruehauf.com/portfolio_category/innovations-telematique/" TargetMode="External" /><Relationship Id="rId6" Type="http://schemas.openxmlformats.org/officeDocument/2006/relationships/image" Target="media/image3.jpeg" /><Relationship Id="rId60" Type="http://schemas.openxmlformats.org/officeDocument/2006/relationships/image" Target="media/image21.jpeg" /><Relationship Id="rId61" Type="http://schemas.openxmlformats.org/officeDocument/2006/relationships/hyperlink" Target="https://www.fruehauf.com/wp-content/uploads/2016/11/2-maxispeed-innovations-safeparking-Fruehauf.jpg" TargetMode="External" /><Relationship Id="rId62" Type="http://schemas.openxmlformats.org/officeDocument/2006/relationships/hyperlink" Target="https://www.fruehauf.com/portfolio-items/safeparking-2/" TargetMode="External" /><Relationship Id="rId63" Type="http://schemas.openxmlformats.org/officeDocument/2006/relationships/hyperlink" Target="https://www.fruehauf.com/portfolio_category/innovations-safeparking/" TargetMode="External" /><Relationship Id="rId64" Type="http://schemas.openxmlformats.org/officeDocument/2006/relationships/image" Target="media/image22.jpeg" /><Relationship Id="rId65" Type="http://schemas.openxmlformats.org/officeDocument/2006/relationships/hyperlink" Target="https://www.fruehauf.com/wp-content/uploads/2016/11/3-maxispeed-innovations-APCS-Fruehauf.jpg" TargetMode="External" /><Relationship Id="rId66" Type="http://schemas.openxmlformats.org/officeDocument/2006/relationships/hyperlink" Target="https://www.fruehauf.com/portfolio-items/apcs/" TargetMode="External" /><Relationship Id="rId67" Type="http://schemas.openxmlformats.org/officeDocument/2006/relationships/hyperlink" Target="https://www.fruehauf.com/portfolio_category/innovations-apcs/" TargetMode="External" /><Relationship Id="rId68" Type="http://schemas.openxmlformats.org/officeDocument/2006/relationships/image" Target="media/image23.jpeg" /><Relationship Id="rId69" Type="http://schemas.openxmlformats.org/officeDocument/2006/relationships/hyperlink" Target="https://www.fruehauf.com/wp-content/uploads/2016/11/6-maxispeed-innovations-EBS-Fruehauf.jpg" TargetMode="External" /><Relationship Id="rId7" Type="http://schemas.openxmlformats.org/officeDocument/2006/relationships/hyperlink" Target="https://www.fruehauf.com/author/marketing_1/" TargetMode="External" /><Relationship Id="rId70" Type="http://schemas.openxmlformats.org/officeDocument/2006/relationships/hyperlink" Target="https://www.fruehauf.com/portfolio-items/ebs/" TargetMode="External" /><Relationship Id="rId71" Type="http://schemas.openxmlformats.org/officeDocument/2006/relationships/image" Target="media/image24.jpeg" /><Relationship Id="rId72" Type="http://schemas.openxmlformats.org/officeDocument/2006/relationships/hyperlink" Target="https://www.fruehauf.com/wp-content/uploads/2016/11/4-maxispeed-innovations-TPMS-Fruehauf.jpg" TargetMode="External" /><Relationship Id="rId73" Type="http://schemas.openxmlformats.org/officeDocument/2006/relationships/hyperlink" Target="https://www.fruehauf.com/portfolio-items/12682/" TargetMode="External" /><Relationship Id="rId74" Type="http://schemas.openxmlformats.org/officeDocument/2006/relationships/hyperlink" Target="https://www.fruehauf.com/portfolio_category/innovations-tpms-2/" TargetMode="External" /><Relationship Id="rId75" Type="http://schemas.openxmlformats.org/officeDocument/2006/relationships/hyperlink" Target="videos" TargetMode="External" /><Relationship Id="rId76" Type="http://schemas.openxmlformats.org/officeDocument/2006/relationships/theme" Target="theme/theme1.xml" /><Relationship Id="rId77" Type="http://schemas.openxmlformats.org/officeDocument/2006/relationships/numbering" Target="numbering.xml" /><Relationship Id="rId78" Type="http://schemas.openxmlformats.org/officeDocument/2006/relationships/styles" Target="styles.xml" /><Relationship Id="rId8" Type="http://schemas.openxmlformats.org/officeDocument/2006/relationships/image" Target="media/image4.jpeg" /><Relationship Id="rId9" Type="http://schemas.openxmlformats.org/officeDocument/2006/relationships/hyperlink" Target="https://www.fruehauf.com/wp-content/uploads/2016/11/1-Bennes-GV-AgroMax-Fruehauf.jp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Bennes Grand Volume</dc:title>
  <cp:revision>0</cp:revision>
</cp:coreProperties>
</file>